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17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4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4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4ақпан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1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7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4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января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A3E96">
        <w:rPr>
          <w:rFonts w:ascii="Times New Roman" w:hAnsi="Times New Roman"/>
          <w:b/>
          <w:sz w:val="18"/>
          <w:szCs w:val="18"/>
        </w:rPr>
        <w:t>24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4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4B124C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Стерилизующее средство 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RENO-SA (S30/D50)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Стерилизующее средство для аппарата RENO-D50. жидкий реагент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пероксида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водорода (H2O2), преобр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зуемый в плазму под де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й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ствием электрического тока. Для медицинских изделий, чувствительных к высокой температуре и влажности.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RENO-SA (S30/D50) – 20 кассет/коробка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Состав: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пероксид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водорода (50%)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Использование: 1 кассета / цикл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Срок хранения: 12 месяцев от даты производства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40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jc w:val="center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123327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4933080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6A3E96" w:rsidRDefault="0062055D" w:rsidP="0020114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6A3E96" w:rsidRDefault="004B124C" w:rsidP="00361505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4B124C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tabs>
                <w:tab w:val="left" w:pos="45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Полоска химическо</w:t>
            </w:r>
            <w:r w:rsidR="006A3E96" w:rsidRPr="006A3E96">
              <w:rPr>
                <w:rFonts w:ascii="Times New Roman" w:hAnsi="Times New Roman"/>
                <w:sz w:val="16"/>
                <w:szCs w:val="16"/>
              </w:rPr>
              <w:t xml:space="preserve">го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индикатора RENO-CIS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Назначение: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контроль н</w:t>
            </w:r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изкотемпературной плазменной стерилизации и </w:t>
            </w:r>
            <w:proofErr w:type="spellStart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>этиленоксидной</w:t>
            </w:r>
            <w:proofErr w:type="spellEnd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 стерилизации.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Особенности: </w:t>
            </w:r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изменяет цвет с красного </w:t>
            </w:r>
            <w:proofErr w:type="gramStart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желтый под воздействием паров </w:t>
            </w:r>
            <w:proofErr w:type="spellStart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пероксида</w:t>
            </w:r>
            <w:proofErr w:type="spellEnd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водорода. 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Применение: 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размещается внутри каждой упаковки со стерилизуемыми инструментами для проверки успешности 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lastRenderedPageBreak/>
              <w:t xml:space="preserve">стерилизации под воздействием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перокс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и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да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водорода.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Комплект поставки: 250 </w:t>
            </w:r>
            <w:proofErr w:type="spellStart"/>
            <w:proofErr w:type="gramStart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>шт</w:t>
            </w:r>
            <w:proofErr w:type="spellEnd"/>
            <w:proofErr w:type="gramEnd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 в упаковке.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Срок хранения: 2 года.</w:t>
            </w:r>
          </w:p>
          <w:p w:rsidR="004B124C" w:rsidRPr="006A3E96" w:rsidRDefault="004B124C" w:rsidP="009D7508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A3E96">
              <w:rPr>
                <w:sz w:val="16"/>
                <w:szCs w:val="16"/>
              </w:rPr>
              <w:t xml:space="preserve">Условия хранения: Комнатная температура (15-30°С) в условиях сухого помещения. 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Хранить вдали от воздействия высокой температ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у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ры, высокой влажности, стерилизующего средства и прямых солнечных лучей.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3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jc w:val="center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38055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114165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6A3E96" w:rsidRDefault="004B124C" w:rsidP="005C0D46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6A3E96" w:rsidRDefault="0062055D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Шарт</w:t>
            </w:r>
            <w:proofErr w:type="gram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қа қол қойылғаннан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кейін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жеткізу,90 күн</w:t>
            </w:r>
          </w:p>
        </w:tc>
      </w:tr>
      <w:tr w:rsidR="004B124C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tabs>
                <w:tab w:val="left" w:pos="450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Лента химического индикатора RENO-CIT</w:t>
            </w:r>
          </w:p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Назначение: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контроль </w:t>
            </w:r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низкотемпературной плазменной стерилизации и </w:t>
            </w:r>
            <w:proofErr w:type="spellStart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>этиленоксидной</w:t>
            </w:r>
            <w:proofErr w:type="spellEnd"/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 xml:space="preserve"> стерилизации.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Особенности: </w:t>
            </w:r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изменяет цвет с красного </w:t>
            </w:r>
            <w:proofErr w:type="gramStart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желтый под воздействием паров </w:t>
            </w:r>
            <w:proofErr w:type="spellStart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пероксида</w:t>
            </w:r>
            <w:proofErr w:type="spellEnd"/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водорода. </w:t>
            </w:r>
          </w:p>
          <w:p w:rsidR="004B124C" w:rsidRPr="006A3E96" w:rsidRDefault="004B124C" w:rsidP="009D7508">
            <w:pPr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Применение: 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размещается внутри каждой упаковки со стерилизуемыми инструментами для проверки успешности стерилизации под воздействием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перокс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и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да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водорода.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A3E96">
              <w:rPr>
                <w:rFonts w:ascii="Times New Roman" w:hAnsi="Times New Roman"/>
                <w:bCs/>
                <w:sz w:val="16"/>
                <w:szCs w:val="16"/>
              </w:rPr>
              <w:t>Комплект поставки: 5 рулонов в упаковке.</w:t>
            </w:r>
          </w:p>
          <w:p w:rsidR="004B124C" w:rsidRPr="006A3E96" w:rsidRDefault="004B124C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Срок хранения: 2 года.</w:t>
            </w:r>
          </w:p>
          <w:p w:rsidR="004B124C" w:rsidRPr="006A3E96" w:rsidRDefault="004B124C" w:rsidP="009D7508">
            <w:pPr>
              <w:pStyle w:val="a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6A3E96">
              <w:rPr>
                <w:sz w:val="16"/>
                <w:szCs w:val="16"/>
              </w:rPr>
              <w:t>Условия хранения: комнатная температура (15-30°С) в условиях сухого помещ</w:t>
            </w:r>
            <w:r w:rsidRPr="006A3E96">
              <w:rPr>
                <w:sz w:val="16"/>
                <w:szCs w:val="16"/>
              </w:rPr>
              <w:t>е</w:t>
            </w:r>
            <w:r w:rsidRPr="006A3E96">
              <w:rPr>
                <w:sz w:val="16"/>
                <w:szCs w:val="16"/>
              </w:rPr>
              <w:t xml:space="preserve">ния. 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Хранить 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в дали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от воздействия высокой температ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у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ры, высокой влажности, стерилизующего средства и прямых солнечных лучей.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4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jc w:val="center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151327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605308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6A3E96" w:rsidRDefault="004B124C" w:rsidP="005C0D46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6A3E96" w:rsidRDefault="004B124C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4B124C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Бумага для принтера (5рул./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упак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Описание: Бумага для принтера используется для распечатки информации о проведенной стерилизации в низкотемпературном плазменном стерилизаторе серии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Reno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. Дополнительные чернила не требуются. 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Тип бумаги: </w:t>
            </w:r>
            <w:proofErr w:type="spellStart"/>
            <w:proofErr w:type="gram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термо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бумага</w:t>
            </w:r>
            <w:proofErr w:type="gramEnd"/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Длина: 17 метров.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Ширина: 58 мм.</w:t>
            </w:r>
          </w:p>
          <w:p w:rsidR="004B124C" w:rsidRPr="006A3E96" w:rsidRDefault="004B124C" w:rsidP="009D7508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6A3E96">
              <w:rPr>
                <w:color w:val="000000"/>
                <w:sz w:val="16"/>
                <w:szCs w:val="16"/>
              </w:rPr>
              <w:t>Условия хранения: 15-30</w:t>
            </w:r>
            <w:proofErr w:type="gramStart"/>
            <w:r w:rsidRPr="006A3E96">
              <w:rPr>
                <w:color w:val="000000"/>
                <w:sz w:val="16"/>
                <w:szCs w:val="16"/>
              </w:rPr>
              <w:t>°С</w:t>
            </w:r>
            <w:proofErr w:type="gramEnd"/>
            <w:r w:rsidRPr="006A3E96">
              <w:rPr>
                <w:color w:val="000000"/>
                <w:sz w:val="16"/>
                <w:szCs w:val="16"/>
              </w:rPr>
              <w:t xml:space="preserve"> в условиях сухого помещения. </w:t>
            </w:r>
            <w:r w:rsidRPr="006A3E96">
              <w:rPr>
                <w:sz w:val="16"/>
                <w:szCs w:val="16"/>
              </w:rPr>
              <w:t xml:space="preserve"> </w:t>
            </w:r>
            <w:r w:rsidRPr="006A3E96">
              <w:rPr>
                <w:color w:val="000000"/>
                <w:sz w:val="16"/>
                <w:szCs w:val="16"/>
              </w:rPr>
              <w:t xml:space="preserve">Хранить </w:t>
            </w:r>
            <w:proofErr w:type="gramStart"/>
            <w:r w:rsidRPr="006A3E96">
              <w:rPr>
                <w:color w:val="000000"/>
                <w:sz w:val="16"/>
                <w:szCs w:val="16"/>
              </w:rPr>
              <w:t>в дали</w:t>
            </w:r>
            <w:proofErr w:type="gramEnd"/>
            <w:r w:rsidRPr="006A3E96">
              <w:rPr>
                <w:color w:val="000000"/>
                <w:sz w:val="16"/>
                <w:szCs w:val="16"/>
              </w:rPr>
              <w:t xml:space="preserve"> от воздействия прямых солнечных и ультрафиолет</w:t>
            </w:r>
            <w:r w:rsidRPr="006A3E96">
              <w:rPr>
                <w:color w:val="000000"/>
                <w:sz w:val="16"/>
                <w:szCs w:val="16"/>
              </w:rPr>
              <w:t>о</w:t>
            </w:r>
            <w:r w:rsidRPr="006A3E96">
              <w:rPr>
                <w:color w:val="000000"/>
                <w:sz w:val="16"/>
                <w:szCs w:val="16"/>
              </w:rPr>
              <w:t>вых лучей</w:t>
            </w:r>
          </w:p>
          <w:p w:rsidR="004B124C" w:rsidRPr="006A3E96" w:rsidRDefault="004B124C" w:rsidP="009D7508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6A3E96">
              <w:rPr>
                <w:color w:val="000000"/>
                <w:sz w:val="16"/>
                <w:szCs w:val="16"/>
              </w:rPr>
              <w:t>Упаковка: 5 рулонов / упаковка.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Срок хранения: 5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jc w:val="center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17691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35382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6A3E96" w:rsidRDefault="004B124C" w:rsidP="005C0D46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6A3E96" w:rsidRDefault="004B124C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4B124C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8E7A11" w:rsidRDefault="004B124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Нетканное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полотно 45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  <w:lang w:val="en-US"/>
              </w:rPr>
              <w:t>gsm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100*100 (100шт./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уп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Сфера применения: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паровая,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этиленоксидная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>, пла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з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менная и радиационная стерилизация.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Состав: четыре полипропиленовых слоев нетканого материала. </w:t>
            </w:r>
          </w:p>
          <w:p w:rsidR="004B124C" w:rsidRPr="006A3E96" w:rsidRDefault="004B124C" w:rsidP="009D7508">
            <w:pPr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Особенности: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спанбонд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слои (S) обеспечивают хорошие фильтрационные свойства, прочность на </w:t>
            </w: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lastRenderedPageBreak/>
              <w:t xml:space="preserve">растяжение и репеллент жидкости, а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мелтбаун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слои (M) обеспечивают сильные бактериальные барьерные свойства с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мельчашим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размером пор.</w:t>
            </w:r>
          </w:p>
          <w:p w:rsidR="004B124C" w:rsidRPr="006A3E96" w:rsidRDefault="004B124C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lastRenderedPageBreak/>
              <w:t>8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24C" w:rsidRPr="006A3E96" w:rsidRDefault="004B124C" w:rsidP="009D7508">
            <w:pPr>
              <w:jc w:val="both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48236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124C" w:rsidRPr="006A3E96" w:rsidRDefault="004B124C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385888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124C" w:rsidRPr="006A3E96" w:rsidRDefault="004B124C" w:rsidP="005C0D46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124C" w:rsidRPr="006A3E96" w:rsidRDefault="004B124C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815CFE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8E7A11" w:rsidRDefault="00815CF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Нетканное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полотно 45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  <w:lang w:val="en-US"/>
              </w:rPr>
              <w:t>gsm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60*60 (100шт./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уп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Сфера применения: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паровая,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этиленоксидная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>, пла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з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менная и радиационная стерилизация.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Состав: четыре полипропиленовых слоев нетканого материала. </w:t>
            </w:r>
          </w:p>
          <w:p w:rsidR="00815CFE" w:rsidRPr="006A3E96" w:rsidRDefault="00815CFE" w:rsidP="009D7508">
            <w:pPr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Особенности: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спанбонд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слои (S) обеспечивают хорошие фильтрационные свойства, прочность на растяжение и репеллент жидкости, а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мелтбаун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слои (M) обеспечивают сильные бактериальные барьерные свойства с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мельчашим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размером пор.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8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jc w:val="both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15145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121160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815CFE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8E7A11" w:rsidRDefault="00815CF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Стерилизационные пакеты самоклеющиеся 19*34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Назначение: Стерилизация инструментов и материалов с дальнейшим хранением в стерильном состоянии до использования по назначению.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Сфера применения: паровая, плазменная и газовая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стерилизация.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Состав: </w:t>
            </w:r>
            <w:proofErr w:type="gram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полипропиленовой</w:t>
            </w:r>
            <w:proofErr w:type="gram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плёнка и медицинская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крепированная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бумага.</w:t>
            </w:r>
          </w:p>
          <w:p w:rsidR="00815CFE" w:rsidRPr="006A3E96" w:rsidRDefault="00815CFE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Изменение цветов индикаторов: при газовой стерилизации (ЕО): с зелёного цвет индикатора меняется 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жёлтый. При стерилиз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ции паром (ПАР): с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розов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о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го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цвет индикатора меняе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т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ся 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коричневый. При плазменной стерилизации: нанесенного индикатора нет.</w:t>
            </w:r>
          </w:p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Особенности: изменение цвета индикатора на пакете сигнализирует о прохождении цикла стерилизации, но не является маркером эффективности цикла стерилизации. Для определения эффективности цикла стерилизации (экспозиция, температура и др.) используются химические и биологические индикаторы  для паровой, плазменной или газовой стерилизации. Рекомендуется заполнять пакет не более чем на 3\4 его емкости, чтобы предупредить разгерметизацию пакета.</w:t>
            </w:r>
          </w:p>
          <w:p w:rsidR="00815CFE" w:rsidRPr="006A3E96" w:rsidRDefault="00815CFE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Условия хранения: в сухом помещении, максимальная температура которого достигает 35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°С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>, а относител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ь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ная влажность (RH) - ма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к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симум 70%.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Срок хранения: 5 лет. Ст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е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рилизованные и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lastRenderedPageBreak/>
              <w:t>нестерил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и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зованные пакеты должны быть защищены от сильной циркуляции воздуха и прямых солнечных лучей. Если бумажная сторона испортилась - пакет и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пользоваться не должен.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lastRenderedPageBreak/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jc w:val="center"/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17691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53073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  <w:tr w:rsidR="00815CFE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8E7A11" w:rsidRDefault="00815CF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/>
                <w:sz w:val="16"/>
                <w:szCs w:val="16"/>
              </w:rPr>
              <w:t>Стерилизационные пакеты самоклеющиеся 40*60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Назначение: Стерилизация инструментов и материалов с дальнейшим хранением в стерильном состоянии до использования по назначению.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Сфера применения: паровая, плазменная и газовая 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стерилизация.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Состав: </w:t>
            </w:r>
            <w:proofErr w:type="gram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полипропиленовой</w:t>
            </w:r>
            <w:proofErr w:type="gram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плёнка и медицинская </w:t>
            </w:r>
            <w:proofErr w:type="spellStart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>крепированная</w:t>
            </w:r>
            <w:proofErr w:type="spellEnd"/>
            <w:r w:rsidRPr="006A3E96">
              <w:rPr>
                <w:rFonts w:ascii="Times New Roman" w:eastAsia="Expo M" w:hAnsi="Times New Roman"/>
                <w:sz w:val="16"/>
                <w:szCs w:val="16"/>
                <w:lang w:eastAsia="ko-KR"/>
              </w:rPr>
              <w:t xml:space="preserve"> бумага.</w:t>
            </w:r>
          </w:p>
          <w:p w:rsidR="00815CFE" w:rsidRPr="006A3E96" w:rsidRDefault="00815CFE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 xml:space="preserve">Изменение цветов индикаторов: при газовой стерилизации (ЕО): с зелёного цвет индикатора меняется 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жёлтый. При стерилиз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ции паром (ПАР): с </w:t>
            </w:r>
            <w:proofErr w:type="spellStart"/>
            <w:r w:rsidRPr="006A3E96">
              <w:rPr>
                <w:rFonts w:ascii="Times New Roman" w:hAnsi="Times New Roman"/>
                <w:sz w:val="16"/>
                <w:szCs w:val="16"/>
              </w:rPr>
              <w:t>розов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о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го</w:t>
            </w:r>
            <w:proofErr w:type="spell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цвет индикатора меняе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т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 xml:space="preserve">ся 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 xml:space="preserve"> коричневый. При плазменной стерилизации: нанесенного индикатора нет.</w:t>
            </w:r>
          </w:p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Особенности: изменение цвета индикатора на пакете сигнализирует о прохождении цикла стерилизации, но не является маркером эффективности цикла стерилизации. Для определения эффективности цикла стерилизации (экспозиция, температура и др.) используются химические и биологические индикаторы  для паровой, плазменной или газовой стерилизации. Рекомендуется заполнять пакет не более чем на 3\4 его емкости, чтобы предупредить разгерметизацию пакета.</w:t>
            </w:r>
          </w:p>
          <w:p w:rsidR="00815CFE" w:rsidRPr="006A3E96" w:rsidRDefault="00815CFE" w:rsidP="009D750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Условия хранения: в сухом помещении, максимальная температура которого достигает 35</w:t>
            </w:r>
            <w:proofErr w:type="gramStart"/>
            <w:r w:rsidRPr="006A3E96">
              <w:rPr>
                <w:rFonts w:ascii="Times New Roman" w:hAnsi="Times New Roman"/>
                <w:sz w:val="16"/>
                <w:szCs w:val="16"/>
              </w:rPr>
              <w:t>°С</w:t>
            </w:r>
            <w:proofErr w:type="gramEnd"/>
            <w:r w:rsidRPr="006A3E96">
              <w:rPr>
                <w:rFonts w:ascii="Times New Roman" w:hAnsi="Times New Roman"/>
                <w:sz w:val="16"/>
                <w:szCs w:val="16"/>
              </w:rPr>
              <w:t>, а относител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ь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ная влажность (RH) - ма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к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симум 70%.</w:t>
            </w:r>
          </w:p>
          <w:p w:rsidR="00815CFE" w:rsidRPr="006A3E96" w:rsidRDefault="00815CFE" w:rsidP="009D7508">
            <w:pPr>
              <w:jc w:val="both"/>
              <w:rPr>
                <w:rFonts w:ascii="Times New Roman" w:eastAsia="Expo M" w:hAnsi="Times New Roman"/>
                <w:sz w:val="16"/>
                <w:szCs w:val="16"/>
                <w:lang w:eastAsia="ko-KR"/>
              </w:rPr>
            </w:pPr>
            <w:r w:rsidRPr="006A3E96">
              <w:rPr>
                <w:rFonts w:ascii="Times New Roman" w:hAnsi="Times New Roman"/>
                <w:sz w:val="16"/>
                <w:szCs w:val="16"/>
              </w:rPr>
              <w:t>Срок хранения: 5 лет. Стерилизованные и нестерил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и</w:t>
            </w:r>
            <w:r w:rsidRPr="006A3E96">
              <w:rPr>
                <w:rFonts w:ascii="Times New Roman" w:hAnsi="Times New Roman"/>
                <w:sz w:val="16"/>
                <w:szCs w:val="16"/>
              </w:rPr>
              <w:t>зованные пакеты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CFE" w:rsidRPr="006A3E96" w:rsidRDefault="00815CFE" w:rsidP="009D7508">
            <w:pPr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</w:pPr>
            <w:r w:rsidRPr="006A3E96">
              <w:rPr>
                <w:rFonts w:ascii="Times New Roman" w:hAnsi="Times New Roman"/>
                <w:color w:val="000000" w:themeColor="text1" w:themeShade="BF"/>
                <w:sz w:val="16"/>
                <w:szCs w:val="16"/>
              </w:rPr>
              <w:t>59691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CFE" w:rsidRPr="006A3E96" w:rsidRDefault="00815CFE" w:rsidP="00035DEA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kk-KZ" w:eastAsia="ru-RU"/>
              </w:rPr>
              <w:t>179073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Тауфика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CFE" w:rsidRPr="006A3E96" w:rsidRDefault="00815CFE" w:rsidP="009D7508">
            <w:pPr>
              <w:rPr>
                <w:rFonts w:ascii="Times New Roman" w:hAnsi="Times New Roman"/>
                <w:sz w:val="16"/>
                <w:szCs w:val="16"/>
              </w:rPr>
            </w:pPr>
            <w:r w:rsidRPr="006A3E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договора,90 дней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246</cp:revision>
  <cp:lastPrinted>2019-02-11T07:45:00Z</cp:lastPrinted>
  <dcterms:created xsi:type="dcterms:W3CDTF">2018-04-25T07:36:00Z</dcterms:created>
  <dcterms:modified xsi:type="dcterms:W3CDTF">2020-01-17T03:11:00Z</dcterms:modified>
</cp:coreProperties>
</file>