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DDC" w:rsidRPr="00BF7DDC" w:rsidRDefault="00BF7DDC" w:rsidP="00BF7DDC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BF7DDC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BF7DD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F7DDC">
        <w:rPr>
          <w:rFonts w:ascii="Times New Roman" w:hAnsi="Times New Roman"/>
          <w:b/>
          <w:sz w:val="24"/>
          <w:szCs w:val="24"/>
        </w:rPr>
        <w:t>алуды</w:t>
      </w:r>
      <w:proofErr w:type="spellEnd"/>
      <w:r w:rsidRPr="00BF7DDC">
        <w:rPr>
          <w:rFonts w:ascii="Times New Roman" w:hAnsi="Times New Roman"/>
          <w:b/>
          <w:sz w:val="24"/>
          <w:szCs w:val="24"/>
        </w:rPr>
        <w:t xml:space="preserve"> өткізу </w:t>
      </w:r>
      <w:proofErr w:type="spellStart"/>
      <w:r w:rsidRPr="00BF7DDC">
        <w:rPr>
          <w:rFonts w:ascii="Times New Roman" w:hAnsi="Times New Roman"/>
          <w:b/>
          <w:sz w:val="24"/>
          <w:szCs w:val="24"/>
        </w:rPr>
        <w:t>туралы</w:t>
      </w:r>
      <w:proofErr w:type="spellEnd"/>
      <w:r w:rsidRPr="00BF7DD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F7DDC">
        <w:rPr>
          <w:rFonts w:ascii="Times New Roman" w:hAnsi="Times New Roman"/>
          <w:b/>
          <w:sz w:val="24"/>
          <w:szCs w:val="24"/>
        </w:rPr>
        <w:t>хабарландыру</w:t>
      </w:r>
      <w:proofErr w:type="spellEnd"/>
      <w:r w:rsidRPr="00BF7DDC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BF7DDC">
        <w:rPr>
          <w:rFonts w:ascii="Times New Roman" w:hAnsi="Times New Roman"/>
          <w:b/>
          <w:sz w:val="24"/>
          <w:szCs w:val="24"/>
        </w:rPr>
        <w:t>ба</w:t>
      </w:r>
      <w:proofErr w:type="gramEnd"/>
      <w:r w:rsidRPr="00BF7DDC">
        <w:rPr>
          <w:rFonts w:ascii="Times New Roman" w:hAnsi="Times New Roman"/>
          <w:b/>
          <w:sz w:val="24"/>
          <w:szCs w:val="24"/>
        </w:rPr>
        <w:t>ға ұсыныстарын сұрату тәсілімен</w:t>
      </w:r>
    </w:p>
    <w:p w:rsidR="004C69CF" w:rsidRDefault="00BF7DDC" w:rsidP="00BF7DDC">
      <w:pPr>
        <w:jc w:val="center"/>
        <w:rPr>
          <w:rFonts w:ascii="Times New Roman" w:hAnsi="Times New Roman"/>
          <w:b/>
          <w:sz w:val="24"/>
          <w:szCs w:val="24"/>
        </w:rPr>
      </w:pPr>
      <w:r w:rsidRPr="00BF7DDC">
        <w:rPr>
          <w:rFonts w:ascii="Times New Roman" w:hAnsi="Times New Roman"/>
          <w:b/>
          <w:sz w:val="24"/>
          <w:szCs w:val="24"/>
        </w:rPr>
        <w:t xml:space="preserve">14 наурыздағы 2019 </w:t>
      </w:r>
      <w:proofErr w:type="spellStart"/>
      <w:r w:rsidRPr="00BF7DDC">
        <w:rPr>
          <w:rFonts w:ascii="Times New Roman" w:hAnsi="Times New Roman"/>
          <w:b/>
          <w:sz w:val="24"/>
          <w:szCs w:val="24"/>
        </w:rPr>
        <w:t>жылы</w:t>
      </w:r>
      <w:proofErr w:type="spellEnd"/>
      <w:r w:rsidRPr="00BF7DDC">
        <w:rPr>
          <w:rFonts w:ascii="Times New Roman" w:hAnsi="Times New Roman"/>
          <w:b/>
          <w:sz w:val="24"/>
          <w:szCs w:val="24"/>
        </w:rPr>
        <w:t>.</w:t>
      </w:r>
    </w:p>
    <w:p w:rsidR="00BF7DDC" w:rsidRPr="004C69CF" w:rsidRDefault="00BF7DDC" w:rsidP="00BF7DDC">
      <w:pPr>
        <w:jc w:val="center"/>
        <w:rPr>
          <w:rFonts w:ascii="Times New Roman" w:hAnsi="Times New Roman"/>
          <w:sz w:val="24"/>
          <w:szCs w:val="24"/>
        </w:rPr>
      </w:pPr>
    </w:p>
    <w:p w:rsidR="00BF7DDC" w:rsidRDefault="00BF7DDC" w:rsidP="00BF7DDC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ұйымдастырушы: "ШЖҚ КМК Үшінші қалалық </w:t>
      </w:r>
      <w:proofErr w:type="spellStart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ауруханасы</w:t>
      </w:r>
      <w:proofErr w:type="spellEnd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" КММ "ДБ </w:t>
      </w:r>
      <w:proofErr w:type="gramStart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</w:t>
      </w:r>
      <w:proofErr w:type="gramEnd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ҚО әкімдігінің" </w:t>
      </w:r>
      <w:proofErr w:type="spellStart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находящеяся</w:t>
      </w:r>
      <w:proofErr w:type="spellEnd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мекен-жайы</w:t>
      </w:r>
      <w:proofErr w:type="spellEnd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: СҚО, </w:t>
      </w:r>
      <w:proofErr w:type="spellStart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Петропавл</w:t>
      </w:r>
      <w:proofErr w:type="spellEnd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қ., </w:t>
      </w:r>
      <w:proofErr w:type="spellStart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к-сі</w:t>
      </w:r>
      <w:proofErr w:type="spellEnd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Атындағы </w:t>
      </w:r>
      <w:proofErr w:type="spellStart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</w:t>
      </w:r>
      <w:proofErr w:type="spellEnd"/>
      <w:r w:rsidRPr="00BF7DD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27, объявляет о проведении закупа способом запроса ценовых предложений на 2019 жылға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7DDC">
        <w:rPr>
          <w:rFonts w:ascii="Times New Roman" w:hAnsi="Times New Roman"/>
          <w:sz w:val="24"/>
          <w:szCs w:val="24"/>
        </w:rPr>
        <w:t xml:space="preserve">сәйкес </w:t>
      </w:r>
      <w:proofErr w:type="spellStart"/>
      <w:r w:rsidRPr="00BF7DDC">
        <w:rPr>
          <w:rFonts w:ascii="Times New Roman" w:hAnsi="Times New Roman"/>
          <w:sz w:val="24"/>
          <w:szCs w:val="24"/>
        </w:rPr>
        <w:t>бекітілген</w:t>
      </w:r>
      <w:proofErr w:type="spellEnd"/>
      <w:r w:rsidRPr="00BF7DDC">
        <w:rPr>
          <w:rFonts w:ascii="Times New Roman" w:hAnsi="Times New Roman"/>
          <w:sz w:val="24"/>
          <w:szCs w:val="24"/>
        </w:rPr>
        <w:t xml:space="preserve"> Қағидаларын </w:t>
      </w:r>
      <w:proofErr w:type="spellStart"/>
      <w:r w:rsidRPr="00BF7DDC">
        <w:rPr>
          <w:rFonts w:ascii="Times New Roman" w:hAnsi="Times New Roman"/>
          <w:sz w:val="24"/>
          <w:szCs w:val="24"/>
        </w:rPr>
        <w:t>сатып</w:t>
      </w:r>
      <w:proofErr w:type="spellEnd"/>
      <w:r w:rsidRPr="00BF7D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DDC">
        <w:rPr>
          <w:rFonts w:ascii="Times New Roman" w:hAnsi="Times New Roman"/>
          <w:sz w:val="24"/>
          <w:szCs w:val="24"/>
        </w:rPr>
        <w:t>алуды</w:t>
      </w:r>
      <w:proofErr w:type="spellEnd"/>
      <w:r w:rsidRPr="00BF7DDC">
        <w:rPr>
          <w:rFonts w:ascii="Times New Roman" w:hAnsi="Times New Roman"/>
          <w:sz w:val="24"/>
          <w:szCs w:val="24"/>
        </w:rPr>
        <w:t xml:space="preserve"> ұйымдастыру және өткізу </w:t>
      </w:r>
      <w:proofErr w:type="spellStart"/>
      <w:r w:rsidRPr="00BF7DDC">
        <w:rPr>
          <w:rFonts w:ascii="Times New Roman" w:hAnsi="Times New Roman"/>
          <w:sz w:val="24"/>
          <w:szCs w:val="24"/>
        </w:rPr>
        <w:t>бойынша</w:t>
      </w:r>
      <w:proofErr w:type="spellEnd"/>
      <w:r w:rsidRPr="00BF7DDC">
        <w:rPr>
          <w:rFonts w:ascii="Times New Roman" w:hAnsi="Times New Roman"/>
          <w:sz w:val="24"/>
          <w:szCs w:val="24"/>
        </w:rPr>
        <w:t xml:space="preserve"> дә</w:t>
      </w:r>
      <w:proofErr w:type="gramStart"/>
      <w:r w:rsidRPr="00BF7DDC">
        <w:rPr>
          <w:rFonts w:ascii="Times New Roman" w:hAnsi="Times New Roman"/>
          <w:sz w:val="24"/>
          <w:szCs w:val="24"/>
        </w:rPr>
        <w:t>р</w:t>
      </w:r>
      <w:proofErr w:type="gramEnd"/>
      <w:r w:rsidRPr="00BF7DDC">
        <w:rPr>
          <w:rFonts w:ascii="Times New Roman" w:hAnsi="Times New Roman"/>
          <w:sz w:val="24"/>
          <w:szCs w:val="24"/>
        </w:rPr>
        <w:t xml:space="preserve">ілік </w:t>
      </w:r>
      <w:proofErr w:type="spellStart"/>
      <w:r w:rsidRPr="00BF7DDC">
        <w:rPr>
          <w:rFonts w:ascii="Times New Roman" w:hAnsi="Times New Roman"/>
          <w:sz w:val="24"/>
          <w:szCs w:val="24"/>
        </w:rPr>
        <w:t>заттарды</w:t>
      </w:r>
      <w:proofErr w:type="spellEnd"/>
      <w:r w:rsidRPr="00BF7DDC">
        <w:rPr>
          <w:rFonts w:ascii="Times New Roman" w:hAnsi="Times New Roman"/>
          <w:sz w:val="24"/>
          <w:szCs w:val="24"/>
        </w:rPr>
        <w:t xml:space="preserve">, профилактикалық (иммундық-биологиялық, диагностикалық, дезинфекциялық) </w:t>
      </w:r>
      <w:proofErr w:type="spellStart"/>
      <w:r w:rsidRPr="00BF7DDC">
        <w:rPr>
          <w:rFonts w:ascii="Times New Roman" w:hAnsi="Times New Roman"/>
          <w:sz w:val="24"/>
          <w:szCs w:val="24"/>
        </w:rPr>
        <w:t>препараттарды</w:t>
      </w:r>
      <w:proofErr w:type="spellEnd"/>
      <w:r w:rsidRPr="00BF7DDC">
        <w:rPr>
          <w:rFonts w:ascii="Times New Roman" w:hAnsi="Times New Roman"/>
          <w:sz w:val="24"/>
          <w:szCs w:val="24"/>
        </w:rPr>
        <w:t xml:space="preserve">, медициналық мақсаттағы бұйымдар мен медициналық </w:t>
      </w:r>
      <w:proofErr w:type="spellStart"/>
      <w:r w:rsidRPr="00BF7DDC">
        <w:rPr>
          <w:rFonts w:ascii="Times New Roman" w:hAnsi="Times New Roman"/>
          <w:sz w:val="24"/>
          <w:szCs w:val="24"/>
        </w:rPr>
        <w:t>техниканы</w:t>
      </w:r>
      <w:proofErr w:type="spellEnd"/>
      <w:r w:rsidRPr="00BF7DDC">
        <w:rPr>
          <w:rFonts w:ascii="Times New Roman" w:hAnsi="Times New Roman"/>
          <w:sz w:val="24"/>
          <w:szCs w:val="24"/>
        </w:rPr>
        <w:t xml:space="preserve">, фармацевтикалық қызмет көрсету </w:t>
      </w:r>
      <w:proofErr w:type="spellStart"/>
      <w:r w:rsidRPr="00BF7DDC">
        <w:rPr>
          <w:rFonts w:ascii="Times New Roman" w:hAnsi="Times New Roman"/>
          <w:sz w:val="24"/>
          <w:szCs w:val="24"/>
        </w:rPr>
        <w:t>бойынша</w:t>
      </w:r>
      <w:proofErr w:type="spellEnd"/>
      <w:r w:rsidRPr="00BF7D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DDC">
        <w:rPr>
          <w:rFonts w:ascii="Times New Roman" w:hAnsi="Times New Roman"/>
          <w:sz w:val="24"/>
          <w:szCs w:val="24"/>
        </w:rPr>
        <w:t>тегін</w:t>
      </w:r>
      <w:proofErr w:type="spellEnd"/>
      <w:r w:rsidRPr="00BF7DDC">
        <w:rPr>
          <w:rFonts w:ascii="Times New Roman" w:hAnsi="Times New Roman"/>
          <w:sz w:val="24"/>
          <w:szCs w:val="24"/>
        </w:rPr>
        <w:t xml:space="preserve"> медициналық көмектің </w:t>
      </w:r>
      <w:proofErr w:type="spellStart"/>
      <w:r w:rsidRPr="00BF7DDC">
        <w:rPr>
          <w:rFonts w:ascii="Times New Roman" w:hAnsi="Times New Roman"/>
          <w:sz w:val="24"/>
          <w:szCs w:val="24"/>
        </w:rPr>
        <w:t>кепілді</w:t>
      </w:r>
      <w:proofErr w:type="spellEnd"/>
      <w:r w:rsidRPr="00BF7DDC">
        <w:rPr>
          <w:rFonts w:ascii="Times New Roman" w:hAnsi="Times New Roman"/>
          <w:sz w:val="24"/>
          <w:szCs w:val="24"/>
        </w:rPr>
        <w:t xml:space="preserve"> көлемін жүйесінде </w:t>
      </w:r>
      <w:proofErr w:type="spellStart"/>
      <w:r w:rsidRPr="00BF7DDC">
        <w:rPr>
          <w:rFonts w:ascii="Times New Roman" w:hAnsi="Times New Roman"/>
          <w:sz w:val="24"/>
          <w:szCs w:val="24"/>
        </w:rPr>
        <w:t>міндетті</w:t>
      </w:r>
      <w:proofErr w:type="spellEnd"/>
      <w:r w:rsidRPr="00BF7DDC">
        <w:rPr>
          <w:rFonts w:ascii="Times New Roman" w:hAnsi="Times New Roman"/>
          <w:sz w:val="24"/>
          <w:szCs w:val="24"/>
        </w:rPr>
        <w:t xml:space="preserve"> әлеуметтік медициналық сақтандыру, Қазақстан </w:t>
      </w:r>
      <w:proofErr w:type="spellStart"/>
      <w:r w:rsidRPr="00BF7DDC">
        <w:rPr>
          <w:rFonts w:ascii="Times New Roman" w:hAnsi="Times New Roman"/>
          <w:sz w:val="24"/>
          <w:szCs w:val="24"/>
        </w:rPr>
        <w:t>Республикасы</w:t>
      </w:r>
      <w:proofErr w:type="spellEnd"/>
      <w:r w:rsidRPr="00BF7DDC">
        <w:rPr>
          <w:rFonts w:ascii="Times New Roman" w:hAnsi="Times New Roman"/>
          <w:sz w:val="24"/>
          <w:szCs w:val="24"/>
        </w:rPr>
        <w:t xml:space="preserve"> Ү</w:t>
      </w:r>
      <w:proofErr w:type="gramStart"/>
      <w:r w:rsidRPr="00BF7DDC">
        <w:rPr>
          <w:rFonts w:ascii="Times New Roman" w:hAnsi="Times New Roman"/>
          <w:sz w:val="24"/>
          <w:szCs w:val="24"/>
        </w:rPr>
        <w:t>к</w:t>
      </w:r>
      <w:proofErr w:type="gramEnd"/>
      <w:r w:rsidRPr="00BF7DDC">
        <w:rPr>
          <w:rFonts w:ascii="Times New Roman" w:hAnsi="Times New Roman"/>
          <w:sz w:val="24"/>
          <w:szCs w:val="24"/>
        </w:rPr>
        <w:t>іметінің 30 қазандағы 2009 жылғы № 1729 (өзгерістер және толықтырулармен). Бұдан Ә</w:t>
      </w:r>
      <w:proofErr w:type="gramStart"/>
      <w:r w:rsidRPr="00BF7DDC">
        <w:rPr>
          <w:rFonts w:ascii="Times New Roman" w:hAnsi="Times New Roman"/>
          <w:sz w:val="24"/>
          <w:szCs w:val="24"/>
        </w:rPr>
        <w:t>р</w:t>
      </w:r>
      <w:proofErr w:type="gramEnd"/>
      <w:r w:rsidRPr="00BF7DDC">
        <w:rPr>
          <w:rFonts w:ascii="Times New Roman" w:hAnsi="Times New Roman"/>
          <w:sz w:val="24"/>
          <w:szCs w:val="24"/>
        </w:rPr>
        <w:t>і "</w:t>
      </w:r>
      <w:proofErr w:type="spellStart"/>
      <w:r w:rsidRPr="00BF7DDC">
        <w:rPr>
          <w:rFonts w:ascii="Times New Roman" w:hAnsi="Times New Roman"/>
          <w:sz w:val="24"/>
          <w:szCs w:val="24"/>
        </w:rPr>
        <w:t>Ережелер</w:t>
      </w:r>
      <w:proofErr w:type="spellEnd"/>
      <w:r w:rsidRPr="00BF7DDC">
        <w:rPr>
          <w:rFonts w:ascii="Times New Roman" w:hAnsi="Times New Roman"/>
          <w:sz w:val="24"/>
          <w:szCs w:val="24"/>
        </w:rPr>
        <w:t>"</w:t>
      </w:r>
    </w:p>
    <w:p w:rsidR="00BF7DDC" w:rsidRDefault="00BF7DDC" w:rsidP="004C69CF">
      <w:pPr>
        <w:jc w:val="both"/>
        <w:rPr>
          <w:rFonts w:ascii="Times New Roman" w:hAnsi="Times New Roman"/>
          <w:sz w:val="24"/>
          <w:szCs w:val="24"/>
        </w:rPr>
      </w:pPr>
      <w:r w:rsidRPr="00BF7DDC">
        <w:rPr>
          <w:rFonts w:ascii="Times New Roman" w:hAnsi="Times New Roman"/>
          <w:sz w:val="24"/>
          <w:szCs w:val="24"/>
        </w:rPr>
        <w:t xml:space="preserve">Қатыстырылады барлық әлеуетті </w:t>
      </w:r>
      <w:proofErr w:type="spellStart"/>
      <w:r w:rsidRPr="00BF7DDC">
        <w:rPr>
          <w:rFonts w:ascii="Times New Roman" w:hAnsi="Times New Roman"/>
          <w:sz w:val="24"/>
          <w:szCs w:val="24"/>
        </w:rPr>
        <w:t>жеткізушілер</w:t>
      </w:r>
      <w:proofErr w:type="spellEnd"/>
      <w:r w:rsidRPr="00BF7D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F7DDC">
        <w:rPr>
          <w:rFonts w:ascii="Times New Roman" w:hAnsi="Times New Roman"/>
          <w:sz w:val="24"/>
          <w:szCs w:val="24"/>
        </w:rPr>
        <w:t>бі</w:t>
      </w:r>
      <w:proofErr w:type="gramStart"/>
      <w:r w:rsidRPr="00BF7DDC">
        <w:rPr>
          <w:rFonts w:ascii="Times New Roman" w:hAnsi="Times New Roman"/>
          <w:sz w:val="24"/>
          <w:szCs w:val="24"/>
        </w:rPr>
        <w:t>л</w:t>
      </w:r>
      <w:proofErr w:type="gramEnd"/>
      <w:r w:rsidRPr="00BF7DDC">
        <w:rPr>
          <w:rFonts w:ascii="Times New Roman" w:hAnsi="Times New Roman"/>
          <w:sz w:val="24"/>
          <w:szCs w:val="24"/>
        </w:rPr>
        <w:t>іктілік</w:t>
      </w:r>
      <w:proofErr w:type="spellEnd"/>
      <w:r w:rsidRPr="00BF7D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DDC">
        <w:rPr>
          <w:rFonts w:ascii="Times New Roman" w:hAnsi="Times New Roman"/>
          <w:sz w:val="24"/>
          <w:szCs w:val="24"/>
        </w:rPr>
        <w:t>талаптарына</w:t>
      </w:r>
      <w:proofErr w:type="spellEnd"/>
      <w:r w:rsidRPr="00BF7D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DDC">
        <w:rPr>
          <w:rFonts w:ascii="Times New Roman" w:hAnsi="Times New Roman"/>
          <w:sz w:val="24"/>
          <w:szCs w:val="24"/>
        </w:rPr>
        <w:t>жауап</w:t>
      </w:r>
      <w:proofErr w:type="spellEnd"/>
      <w:r w:rsidRPr="00BF7D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DDC">
        <w:rPr>
          <w:rFonts w:ascii="Times New Roman" w:hAnsi="Times New Roman"/>
          <w:sz w:val="24"/>
          <w:szCs w:val="24"/>
        </w:rPr>
        <w:t>беретін</w:t>
      </w:r>
      <w:proofErr w:type="spellEnd"/>
      <w:r w:rsidRPr="00BF7DDC">
        <w:rPr>
          <w:rFonts w:ascii="Times New Roman" w:hAnsi="Times New Roman"/>
          <w:sz w:val="24"/>
          <w:szCs w:val="24"/>
        </w:rPr>
        <w:t xml:space="preserve"> көрсетілген гл 3, 13-т. "</w:t>
      </w:r>
      <w:proofErr w:type="spellStart"/>
      <w:r w:rsidRPr="00BF7DDC">
        <w:rPr>
          <w:rFonts w:ascii="Times New Roman" w:hAnsi="Times New Roman"/>
          <w:sz w:val="24"/>
          <w:szCs w:val="24"/>
        </w:rPr>
        <w:t>Ереже</w:t>
      </w:r>
      <w:proofErr w:type="spellEnd"/>
      <w:r w:rsidRPr="00BF7DDC">
        <w:rPr>
          <w:rFonts w:ascii="Times New Roman" w:hAnsi="Times New Roman"/>
          <w:sz w:val="24"/>
          <w:szCs w:val="24"/>
        </w:rPr>
        <w:t>".</w:t>
      </w:r>
    </w:p>
    <w:p w:rsidR="00BF7DDC" w:rsidRDefault="00BF7DDC" w:rsidP="004C69CF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BF7DDC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 (баға ұсынысы мен сәйкестігін растайтын құжаттарды ұсынылатын тауарлар талаптарына 4-тарауында "Ереже") 26 наурыз 2019 жылға дейін 12 с. 00 мин. мемлекеттік сатып алу бөлімі мекен-жайы: СҚО, Петропавл қ., к-сі Атындағы Тауфика Мухамед-Рахимов, 27. 3-қабат (әкімшілік) Байланыс телефоны: 8(7152) 50-26-86.</w:t>
      </w:r>
    </w:p>
    <w:p w:rsidR="00BF7DDC" w:rsidRDefault="00BF7DDC" w:rsidP="004C69CF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BF7DDC">
        <w:rPr>
          <w:rFonts w:ascii="Times New Roman" w:hAnsi="Times New Roman"/>
          <w:sz w:val="24"/>
          <w:szCs w:val="24"/>
          <w:lang w:val="kk-KZ"/>
        </w:rPr>
        <w:t>Конверттерді ашу және қорытынды шығару 26 наурыз 2019 жылғы 15 с. 00 мин. мемлекеттік сатып алу бөлімінде.</w:t>
      </w:r>
    </w:p>
    <w:p w:rsidR="004C69CF" w:rsidRPr="00BF7DDC" w:rsidRDefault="00BF7DDC" w:rsidP="004C69CF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BF7DDC">
        <w:rPr>
          <w:rFonts w:ascii="Times New Roman" w:hAnsi="Times New Roman"/>
          <w:sz w:val="24"/>
          <w:szCs w:val="24"/>
          <w:lang w:val="kk-KZ"/>
        </w:rPr>
        <w:t>Протокол итогов болады интернет ресурсында 27 наурыз 2019 жылы.</w:t>
      </w:r>
    </w:p>
    <w:p w:rsidR="004C69CF" w:rsidRPr="00BF7DDC" w:rsidRDefault="004C69CF" w:rsidP="004C69CF">
      <w:pPr>
        <w:rPr>
          <w:rFonts w:ascii="Times New Roman" w:hAnsi="Times New Roman"/>
          <w:sz w:val="24"/>
          <w:szCs w:val="24"/>
          <w:lang w:val="kk-KZ"/>
        </w:rPr>
      </w:pPr>
    </w:p>
    <w:p w:rsidR="004C69CF" w:rsidRPr="00BF7DDC" w:rsidRDefault="004C69CF" w:rsidP="004C69CF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993"/>
        <w:gridCol w:w="4114"/>
        <w:gridCol w:w="710"/>
        <w:gridCol w:w="1276"/>
        <w:gridCol w:w="994"/>
        <w:gridCol w:w="1062"/>
      </w:tblGrid>
      <w:tr w:rsidR="004C69CF" w:rsidTr="00A2569D">
        <w:trPr>
          <w:trHeight w:val="638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CF" w:rsidRPr="000F0813" w:rsidRDefault="00BF7DD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7DDC"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CF" w:rsidRPr="000F0813" w:rsidRDefault="00BF7DD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7DDC"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CF" w:rsidRPr="000F0813" w:rsidRDefault="00BF7DD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>Объем закупа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CF" w:rsidRPr="000F0813" w:rsidRDefault="001A1C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1C4B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1A1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A1C4B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gramEnd"/>
            <w:r w:rsidRPr="001A1C4B">
              <w:rPr>
                <w:rFonts w:ascii="Times New Roman" w:hAnsi="Times New Roman"/>
                <w:sz w:val="24"/>
                <w:szCs w:val="24"/>
              </w:rPr>
              <w:t>ға бөлінген сома (теңге)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CF" w:rsidRPr="000F0813" w:rsidRDefault="001A1C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1C4B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1A1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1C4B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CF" w:rsidRPr="000F0813" w:rsidRDefault="001A1C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1C4B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1A1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1C4B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1A1C4B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1A1C4B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1A1C4B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1A1C4B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</w:p>
        </w:tc>
      </w:tr>
      <w:tr w:rsidR="004C69CF" w:rsidRPr="000F0813" w:rsidTr="00A2569D">
        <w:trPr>
          <w:trHeight w:val="696"/>
        </w:trPr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1A1C4B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 w:rsidRPr="001A1C4B">
              <w:rPr>
                <w:rFonts w:ascii="Times New Roman" w:hAnsi="Times New Roman"/>
                <w:color w:val="000000"/>
                <w:sz w:val="24"/>
                <w:szCs w:val="24"/>
              </w:rPr>
              <w:t>Бедренный компонент</w:t>
            </w:r>
          </w:p>
        </w:tc>
        <w:tc>
          <w:tcPr>
            <w:tcW w:w="4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CF" w:rsidRPr="000F0813" w:rsidRDefault="007B16E1" w:rsidP="00A2569D">
            <w:pPr>
              <w:ind w:right="29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оң және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сол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, материал – кобальтохромовый қорытпасы,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тірек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бөлігі бетінің мыщелков бар бірыңғай радиусы "сагиттальной жазықтықта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диапазонында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0 градусқа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95 градус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майыстыру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екі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мыщелка" дистальной бөлігінде бар бірыңғай радиусы алдыңғы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шептегі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жазықтықта, 9,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стандартты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мөлшерін: переднезадние мөлшері 51-ден</w:t>
            </w:r>
            <w:proofErr w:type="gram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75 мм, наружновнутренний 57 82 мм,</w:t>
            </w:r>
            <w:r w:rsidR="00A2569D" w:rsidRPr="000F08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переднезадние мөлшері 35 до58, қалыңдығы алдыңғы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ернемек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– 8 мм артық, қалыңдығы </w:t>
            </w:r>
            <w:proofErr w:type="gramStart"/>
            <w:r w:rsidRPr="007B16E1">
              <w:rPr>
                <w:rFonts w:ascii="Times New Roman" w:hAnsi="Times New Roman"/>
                <w:sz w:val="24"/>
                <w:szCs w:val="24"/>
              </w:rPr>
              <w:t>арт</w:t>
            </w:r>
            <w:proofErr w:type="gram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қы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ернемек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8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мм-ден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аспайды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орнату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талап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етпеуі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тиіс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қосымша сүйек резекция қалыптастыру үшін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боразда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астында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надколенник жоқ, қораптар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астында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артқы </w:t>
            </w:r>
            <w:r w:rsidRPr="007B16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тұрақтандырғыш, переднезадние мөлшері 40-58 мм,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B16E1">
              <w:rPr>
                <w:rFonts w:ascii="Times New Roman" w:hAnsi="Times New Roman"/>
                <w:sz w:val="24"/>
                <w:szCs w:val="24"/>
              </w:rPr>
              <w:t>переднезадней</w:t>
            </w:r>
            <w:proofErr w:type="gram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мөлшері 30-дан 40 мм, наружновнутренний 61-ден 88 мм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C69CF" w:rsidRPr="000F0813" w:rsidRDefault="004C69C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69CF" w:rsidRPr="000F0813" w:rsidRDefault="007B16E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B16E1">
              <w:rPr>
                <w:rFonts w:ascii="Times New Roman" w:hAnsi="Times New Roman"/>
                <w:sz w:val="24"/>
                <w:szCs w:val="24"/>
              </w:rPr>
              <w:t xml:space="preserve">СҚО,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қ.,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к-сі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Атындағы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Тауфика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Мухам</w:t>
            </w:r>
            <w:r w:rsidRPr="007B16E1">
              <w:rPr>
                <w:rFonts w:ascii="Times New Roman" w:hAnsi="Times New Roman"/>
                <w:sz w:val="24"/>
                <w:szCs w:val="24"/>
              </w:rPr>
              <w:lastRenderedPageBreak/>
              <w:t>ед-Рахимов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>, 27 (дә</w:t>
            </w:r>
            <w:proofErr w:type="gramStart"/>
            <w:r w:rsidRPr="007B16E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B16E1">
              <w:rPr>
                <w:rFonts w:ascii="Times New Roman" w:hAnsi="Times New Roman"/>
                <w:sz w:val="24"/>
                <w:szCs w:val="24"/>
              </w:rPr>
              <w:t>іхана қоймасы)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16E1" w:rsidRPr="007B16E1" w:rsidRDefault="007B16E1" w:rsidP="007B16E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B16E1">
              <w:rPr>
                <w:rFonts w:ascii="Times New Roman" w:hAnsi="Times New Roman"/>
                <w:sz w:val="24"/>
                <w:szCs w:val="24"/>
              </w:rPr>
              <w:t>Поставка в течени</w:t>
            </w:r>
            <w:proofErr w:type="gramStart"/>
            <w:r w:rsidRPr="007B16E1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5 күнтізбелік</w:t>
            </w:r>
          </w:p>
          <w:p w:rsidR="007B16E1" w:rsidRPr="007B16E1" w:rsidRDefault="007B16E1" w:rsidP="007B16E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B16E1">
              <w:rPr>
                <w:rFonts w:ascii="Times New Roman" w:hAnsi="Times New Roman"/>
                <w:sz w:val="24"/>
                <w:szCs w:val="24"/>
              </w:rPr>
              <w:t>күн</w:t>
            </w:r>
          </w:p>
          <w:p w:rsidR="004C69CF" w:rsidRPr="000F0813" w:rsidRDefault="007B16E1" w:rsidP="007B16E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B16E1">
              <w:rPr>
                <w:rFonts w:ascii="Times New Roman" w:hAnsi="Times New Roman"/>
                <w:sz w:val="24"/>
                <w:szCs w:val="24"/>
              </w:rPr>
              <w:t>шарт</w:t>
            </w:r>
            <w:proofErr w:type="gramEnd"/>
            <w:r w:rsidRPr="007B16E1">
              <w:rPr>
                <w:rFonts w:ascii="Times New Roman" w:hAnsi="Times New Roman"/>
                <w:sz w:val="24"/>
                <w:szCs w:val="24"/>
              </w:rPr>
              <w:t>қа қол қою</w:t>
            </w:r>
          </w:p>
        </w:tc>
      </w:tr>
      <w:tr w:rsidR="004C69CF" w:rsidRPr="000F0813" w:rsidTr="00A2569D">
        <w:trPr>
          <w:trHeight w:val="673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4C69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4C69CF">
            <w:pP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</w:p>
        </w:tc>
        <w:tc>
          <w:tcPr>
            <w:tcW w:w="4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4C69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CF" w:rsidRPr="000F0813" w:rsidRDefault="00A256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C69CF" w:rsidRPr="000F0813" w:rsidRDefault="000F081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color w:val="000000"/>
                <w:sz w:val="24"/>
                <w:szCs w:val="24"/>
              </w:rPr>
              <w:t>1 086 240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4C69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4C69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9CF" w:rsidRPr="000F0813" w:rsidTr="00A2569D">
        <w:trPr>
          <w:trHeight w:val="55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4C69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4C69CF">
            <w:pP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</w:p>
        </w:tc>
        <w:tc>
          <w:tcPr>
            <w:tcW w:w="4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4C69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4C69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4C69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4C69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9CF" w:rsidRPr="000F0813" w:rsidTr="00A2569D">
        <w:trPr>
          <w:trHeight w:val="5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A2569D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color w:val="000000"/>
                <w:sz w:val="24"/>
                <w:szCs w:val="24"/>
              </w:rPr>
              <w:t>Большеберцовый компонент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7B16E1" w:rsidP="00A2569D">
            <w:pPr>
              <w:ind w:right="29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дайындау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материалы </w:t>
            </w:r>
            <w:proofErr w:type="gramStart"/>
            <w:r w:rsidRPr="007B16E1">
              <w:rPr>
                <w:rFonts w:ascii="Times New Roman" w:hAnsi="Times New Roman"/>
                <w:sz w:val="24"/>
                <w:szCs w:val="24"/>
              </w:rPr>
              <w:t>кобальтохромовый</w:t>
            </w:r>
            <w:proofErr w:type="gram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қорытпасы. Бар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килевидной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нысанын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ножку-бабына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ступенчатыми бүйі</w:t>
            </w:r>
            <w:proofErr w:type="gramStart"/>
            <w:r w:rsidRPr="007B16E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қанаттары, үстіңгі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негіз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жоқ өңделген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махагон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түсті ұстағышы бар, материалы – кобальт-хром қорытпасы бар 8-ден кем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емес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өлшем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стандартты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жиында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69CF" w:rsidRPr="000F0813" w:rsidRDefault="00A256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0813" w:rsidRDefault="000F0813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C69CF" w:rsidRPr="000F0813" w:rsidRDefault="000F081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color w:val="000000"/>
                <w:sz w:val="24"/>
                <w:szCs w:val="24"/>
              </w:rPr>
              <w:t>657 500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4C69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4C69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9CF" w:rsidRPr="000F0813" w:rsidTr="00A2569D">
        <w:trPr>
          <w:trHeight w:val="5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4C69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A2569D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color w:val="000000"/>
                <w:sz w:val="24"/>
                <w:szCs w:val="24"/>
              </w:rPr>
              <w:t>Большеберцовый вкладыш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69D" w:rsidRPr="000F0813" w:rsidRDefault="007B16E1" w:rsidP="00A2569D">
            <w:pPr>
              <w:ind w:right="29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тіркелген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пластиктен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сверхвысокомолекулярного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полиэтилен, тығыздығын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арттыру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үшін көлденең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байланыстарды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молекулалар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полиэтилен және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арттыру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износоустойчивости, үш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есе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өсіру ұшырауы өнді</w:t>
            </w:r>
            <w:proofErr w:type="gramStart"/>
            <w:r w:rsidRPr="007B16E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іс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процесінде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әсеріне гамма сәуле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дозада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30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кГр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(3 мрад),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кейіннен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нагреванием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130 градус</w:t>
            </w:r>
            <w:r w:rsidR="00A2569D" w:rsidRPr="000F081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B16E1">
              <w:rPr>
                <w:rFonts w:ascii="Times New Roman" w:hAnsi="Times New Roman"/>
                <w:sz w:val="24"/>
                <w:szCs w:val="24"/>
              </w:rPr>
              <w:t xml:space="preserve">Үстіңгі парағының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пішіні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сфералық доғасының қалыңдығы 8 – 24 мм,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конструкциясы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эндопротеза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нысаны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большеберцового жапсырманың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жасамауы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тиіс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ротационную қ</w:t>
            </w:r>
            <w:proofErr w:type="gramStart"/>
            <w:r w:rsidRPr="007B16E1">
              <w:rPr>
                <w:rFonts w:ascii="Times New Roman" w:hAnsi="Times New Roman"/>
                <w:sz w:val="24"/>
                <w:szCs w:val="24"/>
              </w:rPr>
              <w:t>оз</w:t>
            </w:r>
            <w:proofErr w:type="gram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ғалғыштығы бедренного компонент </w:t>
            </w:r>
            <w:proofErr w:type="spellStart"/>
            <w:r w:rsidRPr="007B16E1">
              <w:rPr>
                <w:rFonts w:ascii="Times New Roman" w:hAnsi="Times New Roman"/>
                <w:sz w:val="24"/>
                <w:szCs w:val="24"/>
              </w:rPr>
              <w:t>шегінде</w:t>
            </w:r>
            <w:proofErr w:type="spellEnd"/>
            <w:r w:rsidRPr="007B16E1">
              <w:rPr>
                <w:rFonts w:ascii="Times New Roman" w:hAnsi="Times New Roman"/>
                <w:sz w:val="24"/>
                <w:szCs w:val="24"/>
              </w:rPr>
              <w:t xml:space="preserve"> ±20 градус</w:t>
            </w:r>
            <w:r w:rsidR="00A2569D" w:rsidRPr="000F081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C69CF" w:rsidRPr="000F0813" w:rsidRDefault="004C69CF">
            <w:pPr>
              <w:tabs>
                <w:tab w:val="left" w:pos="2078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A256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13" w:rsidRDefault="000F0813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C69CF" w:rsidRPr="000F0813" w:rsidRDefault="000F081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color w:val="000000"/>
                <w:sz w:val="24"/>
                <w:szCs w:val="24"/>
              </w:rPr>
              <w:t>461 210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4C69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CF" w:rsidRPr="000F0813" w:rsidRDefault="004C69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69CF" w:rsidRPr="000F0813" w:rsidRDefault="004C69CF" w:rsidP="004C69CF">
      <w:pPr>
        <w:rPr>
          <w:rFonts w:ascii="Times New Roman" w:hAnsi="Times New Roman"/>
          <w:sz w:val="24"/>
          <w:szCs w:val="24"/>
        </w:rPr>
      </w:pPr>
    </w:p>
    <w:p w:rsidR="004C69CF" w:rsidRDefault="004C69CF" w:rsidP="004C69CF"/>
    <w:p w:rsidR="004C69CF" w:rsidRDefault="004C69CF" w:rsidP="004C69CF"/>
    <w:p w:rsidR="004C69CF" w:rsidRDefault="004C69CF" w:rsidP="004C69CF"/>
    <w:p w:rsidR="004C69CF" w:rsidRDefault="004C69CF" w:rsidP="004C69CF"/>
    <w:p w:rsidR="004C69CF" w:rsidRDefault="004C69CF" w:rsidP="004C69CF"/>
    <w:p w:rsidR="004C69CF" w:rsidRDefault="004C69CF" w:rsidP="004C69CF"/>
    <w:p w:rsidR="004C69CF" w:rsidRDefault="004C69CF" w:rsidP="004C69CF"/>
    <w:p w:rsidR="000F0813" w:rsidRDefault="000F0813" w:rsidP="004C69CF"/>
    <w:p w:rsidR="000F0813" w:rsidRDefault="000F0813" w:rsidP="004C69CF"/>
    <w:p w:rsidR="000F0813" w:rsidRDefault="000F0813" w:rsidP="004C69CF"/>
    <w:p w:rsidR="007B16E1" w:rsidRDefault="007B16E1" w:rsidP="004C69CF"/>
    <w:p w:rsidR="007B16E1" w:rsidRDefault="007B16E1" w:rsidP="004C69CF"/>
    <w:p w:rsidR="007B16E1" w:rsidRDefault="007B16E1" w:rsidP="004C69CF"/>
    <w:p w:rsidR="007B16E1" w:rsidRDefault="007B16E1" w:rsidP="004C69CF"/>
    <w:p w:rsidR="007B16E1" w:rsidRDefault="007B16E1" w:rsidP="004C69CF"/>
    <w:p w:rsidR="007B16E1" w:rsidRDefault="007B16E1" w:rsidP="004C69CF"/>
    <w:p w:rsidR="000F0813" w:rsidRDefault="000F0813" w:rsidP="004C69CF"/>
    <w:p w:rsidR="000F0813" w:rsidRDefault="000F0813" w:rsidP="004C69CF"/>
    <w:p w:rsidR="000F0813" w:rsidRDefault="000F0813" w:rsidP="000F081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Объявление о проведении закупа способом запроса ценовых предложений</w:t>
      </w:r>
    </w:p>
    <w:p w:rsidR="000F0813" w:rsidRDefault="000F0813" w:rsidP="000F081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14 марта 2019 года.</w:t>
      </w:r>
    </w:p>
    <w:p w:rsidR="000F0813" w:rsidRPr="004C69CF" w:rsidRDefault="000F0813" w:rsidP="000F0813">
      <w:pPr>
        <w:jc w:val="center"/>
        <w:rPr>
          <w:rFonts w:ascii="Times New Roman" w:hAnsi="Times New Roman"/>
          <w:sz w:val="24"/>
          <w:szCs w:val="24"/>
        </w:rPr>
      </w:pPr>
    </w:p>
    <w:p w:rsidR="000F0813" w:rsidRPr="000F0813" w:rsidRDefault="000F0813" w:rsidP="000F081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F0813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   Организатор закупа: КГП на ПХВ «Третья городская больница» КГУ «УЗ </w:t>
      </w:r>
      <w:proofErr w:type="spellStart"/>
      <w:r w:rsidRPr="000F0813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F0813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0F081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Pr="000F0813">
        <w:rPr>
          <w:rFonts w:ascii="Times New Roman" w:hAnsi="Times New Roman"/>
          <w:sz w:val="24"/>
          <w:szCs w:val="24"/>
        </w:rPr>
        <w:t>находящеяся</w:t>
      </w:r>
      <w:proofErr w:type="spellEnd"/>
      <w:r w:rsidRPr="000F0813"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 w:rsidRPr="000F0813">
        <w:rPr>
          <w:rFonts w:ascii="Times New Roman" w:hAnsi="Times New Roman"/>
          <w:b/>
          <w:sz w:val="24"/>
          <w:szCs w:val="24"/>
        </w:rPr>
        <w:t xml:space="preserve">, </w:t>
      </w:r>
      <w:r w:rsidRPr="000F0813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 w:rsidRPr="000F0813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F0813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F0813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F0813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F0813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0F081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F0813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0F0813">
        <w:rPr>
          <w:rFonts w:ascii="Times New Roman" w:hAnsi="Times New Roman"/>
          <w:b/>
          <w:sz w:val="24"/>
          <w:szCs w:val="24"/>
        </w:rPr>
        <w:t xml:space="preserve"> </w:t>
      </w:r>
      <w:r w:rsidRPr="000F0813">
        <w:rPr>
          <w:rFonts w:ascii="Times New Roman" w:hAnsi="Times New Roman"/>
          <w:sz w:val="24"/>
          <w:szCs w:val="24"/>
        </w:rPr>
        <w:t>способом запроса ценовых предложений на 2019</w:t>
      </w:r>
      <w:r w:rsidRPr="000F0813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F0813">
        <w:rPr>
          <w:rFonts w:ascii="Times New Roman" w:hAnsi="Times New Roman"/>
          <w:sz w:val="24"/>
          <w:szCs w:val="24"/>
        </w:rPr>
        <w:t>год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0F0813">
        <w:rPr>
          <w:rFonts w:ascii="Times New Roman" w:hAnsi="Times New Roman"/>
          <w:sz w:val="24"/>
          <w:szCs w:val="24"/>
        </w:rPr>
        <w:t xml:space="preserve"> согласно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 внесенными изменениями и дополнениями). Далее « Правила»</w:t>
      </w:r>
    </w:p>
    <w:p w:rsidR="000F0813" w:rsidRPr="000F0813" w:rsidRDefault="000F0813" w:rsidP="000F0813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0813">
        <w:rPr>
          <w:rFonts w:ascii="Times New Roman" w:hAnsi="Times New Roman"/>
          <w:sz w:val="24"/>
          <w:szCs w:val="24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0F0813" w:rsidRPr="000F0813" w:rsidRDefault="000F0813" w:rsidP="000F0813">
      <w:pPr>
        <w:jc w:val="both"/>
        <w:rPr>
          <w:rFonts w:ascii="Times New Roman" w:hAnsi="Times New Roman"/>
          <w:sz w:val="24"/>
          <w:szCs w:val="24"/>
        </w:rPr>
      </w:pPr>
      <w:r w:rsidRPr="000F0813">
        <w:rPr>
          <w:rFonts w:ascii="Times New Roman" w:hAnsi="Times New Roman"/>
          <w:sz w:val="24"/>
          <w:szCs w:val="24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26 марта 2019 года до 12 ч. 00 мин. в отдел государственных закупок по адресу: СКО, г. Петропавловск</w:t>
      </w:r>
      <w:r w:rsidRPr="000F0813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0F0813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0F0813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0F0813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F0813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F0813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F0813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F0813">
        <w:rPr>
          <w:rFonts w:ascii="Times New Roman" w:hAnsi="Times New Roman"/>
          <w:b/>
          <w:sz w:val="24"/>
          <w:szCs w:val="24"/>
        </w:rPr>
        <w:t xml:space="preserve">. </w:t>
      </w:r>
      <w:r w:rsidRPr="000F0813">
        <w:rPr>
          <w:rFonts w:ascii="Times New Roman" w:hAnsi="Times New Roman"/>
          <w:sz w:val="24"/>
          <w:szCs w:val="24"/>
        </w:rPr>
        <w:t>3 этаж (администрация) Контактный телефон: 8(7152) 50-26-86.</w:t>
      </w:r>
    </w:p>
    <w:p w:rsidR="000F0813" w:rsidRPr="000F0813" w:rsidRDefault="000F0813" w:rsidP="000F0813">
      <w:pPr>
        <w:jc w:val="both"/>
        <w:rPr>
          <w:rFonts w:ascii="Times New Roman" w:hAnsi="Times New Roman"/>
          <w:sz w:val="24"/>
          <w:szCs w:val="24"/>
        </w:rPr>
      </w:pPr>
      <w:r w:rsidRPr="000F0813">
        <w:rPr>
          <w:rFonts w:ascii="Times New Roman" w:hAnsi="Times New Roman"/>
          <w:sz w:val="24"/>
          <w:szCs w:val="24"/>
        </w:rPr>
        <w:t>Вскрытие конвертов и подведение итогов 26 марта 2019 года в 15 ч. 00 мин в отделе государственных закупок.</w:t>
      </w:r>
    </w:p>
    <w:p w:rsidR="000F0813" w:rsidRPr="000F0813" w:rsidRDefault="000F0813" w:rsidP="000F0813">
      <w:pPr>
        <w:jc w:val="both"/>
        <w:rPr>
          <w:rFonts w:ascii="Times New Roman" w:hAnsi="Times New Roman"/>
          <w:sz w:val="24"/>
          <w:szCs w:val="24"/>
        </w:rPr>
      </w:pPr>
      <w:r w:rsidRPr="000F0813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0F0813">
        <w:rPr>
          <w:rFonts w:ascii="Times New Roman" w:hAnsi="Times New Roman"/>
          <w:sz w:val="24"/>
          <w:szCs w:val="24"/>
        </w:rPr>
        <w:t>ресурсе</w:t>
      </w:r>
      <w:proofErr w:type="gramEnd"/>
      <w:r w:rsidRPr="000F0813">
        <w:rPr>
          <w:rFonts w:ascii="Times New Roman" w:hAnsi="Times New Roman"/>
          <w:sz w:val="24"/>
          <w:szCs w:val="24"/>
        </w:rPr>
        <w:t xml:space="preserve"> 27 марта 2019 года. </w:t>
      </w:r>
    </w:p>
    <w:p w:rsidR="000F0813" w:rsidRDefault="000F0813" w:rsidP="000F0813">
      <w:pPr>
        <w:rPr>
          <w:rFonts w:ascii="Times New Roman" w:hAnsi="Times New Roman"/>
          <w:sz w:val="24"/>
          <w:szCs w:val="24"/>
        </w:rPr>
      </w:pPr>
    </w:p>
    <w:p w:rsidR="000F0813" w:rsidRDefault="000F0813" w:rsidP="000F0813">
      <w:pPr>
        <w:rPr>
          <w:rFonts w:ascii="Times New Roman" w:hAnsi="Times New Roman"/>
          <w:b/>
          <w:sz w:val="24"/>
          <w:szCs w:val="24"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993"/>
        <w:gridCol w:w="4114"/>
        <w:gridCol w:w="710"/>
        <w:gridCol w:w="1276"/>
        <w:gridCol w:w="994"/>
        <w:gridCol w:w="1062"/>
      </w:tblGrid>
      <w:tr w:rsidR="000F0813" w:rsidTr="002C0658">
        <w:trPr>
          <w:trHeight w:val="638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813" w:rsidRPr="000F0813" w:rsidRDefault="000F0813" w:rsidP="002C065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813" w:rsidRPr="000F0813" w:rsidRDefault="000F0813" w:rsidP="002C065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813" w:rsidRPr="000F0813" w:rsidRDefault="000F0813" w:rsidP="002C065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813" w:rsidRPr="000F0813" w:rsidRDefault="000F0813" w:rsidP="002C065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0813"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 w:rsidRPr="000F0813">
              <w:rPr>
                <w:rFonts w:ascii="Times New Roman" w:hAnsi="Times New Roman"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813" w:rsidRPr="000F0813" w:rsidRDefault="000F0813" w:rsidP="002C065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>Место поставки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813" w:rsidRPr="000F0813" w:rsidRDefault="000F0813" w:rsidP="002C065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>Сроки и условия поставки</w:t>
            </w:r>
          </w:p>
        </w:tc>
      </w:tr>
      <w:tr w:rsidR="000F0813" w:rsidRPr="000F0813" w:rsidTr="002C0658">
        <w:trPr>
          <w:trHeight w:val="696"/>
        </w:trPr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color w:val="000000"/>
                <w:sz w:val="24"/>
                <w:szCs w:val="24"/>
              </w:rPr>
              <w:t>Бедренный компонент</w:t>
            </w:r>
          </w:p>
        </w:tc>
        <w:tc>
          <w:tcPr>
            <w:tcW w:w="4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813" w:rsidRPr="000F0813" w:rsidRDefault="000F0813" w:rsidP="002C0658">
            <w:pPr>
              <w:ind w:right="29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0813">
              <w:rPr>
                <w:rFonts w:ascii="Times New Roman" w:hAnsi="Times New Roman"/>
                <w:sz w:val="24"/>
                <w:szCs w:val="24"/>
              </w:rPr>
              <w:t xml:space="preserve">правый и левый, материал –  кобальтохромовый сплав, несущая часть поверхности мыщелков имеет единый радиус в сагиттальной плоскости в диапазоне от 0 градусов до 95 градусов сгибания оба мыщелка в дистальной части  имеют единый радиус во фронтальной плоскости, 9 стандартных размеров: переднезадние размеры от 51 до </w:t>
            </w:r>
            <w:smartTag w:uri="urn:schemas-microsoft-com:office:smarttags" w:element="metricconverter">
              <w:smartTagPr>
                <w:attr w:name="ProductID" w:val="75 мм"/>
              </w:smartTagPr>
              <w:r w:rsidRPr="000F0813">
                <w:rPr>
                  <w:rFonts w:ascii="Times New Roman" w:hAnsi="Times New Roman"/>
                  <w:sz w:val="24"/>
                  <w:szCs w:val="24"/>
                </w:rPr>
                <w:t>75 мм</w:t>
              </w:r>
            </w:smartTag>
            <w:r w:rsidRPr="000F0813">
              <w:rPr>
                <w:rFonts w:ascii="Times New Roman" w:hAnsi="Times New Roman"/>
                <w:sz w:val="24"/>
                <w:szCs w:val="24"/>
              </w:rPr>
              <w:t xml:space="preserve">, наружновнутренний от 57 до </w:t>
            </w:r>
            <w:smartTag w:uri="urn:schemas-microsoft-com:office:smarttags" w:element="metricconverter">
              <w:smartTagPr>
                <w:attr w:name="ProductID" w:val="82 мм"/>
              </w:smartTagPr>
              <w:r w:rsidRPr="000F0813">
                <w:rPr>
                  <w:rFonts w:ascii="Times New Roman" w:hAnsi="Times New Roman"/>
                  <w:sz w:val="24"/>
                  <w:szCs w:val="24"/>
                </w:rPr>
                <w:t>82 мм</w:t>
              </w:r>
            </w:smartTag>
            <w:r w:rsidRPr="000F0813">
              <w:rPr>
                <w:rFonts w:ascii="Times New Roman" w:hAnsi="Times New Roman"/>
                <w:sz w:val="24"/>
                <w:szCs w:val="24"/>
              </w:rPr>
              <w:t>, внутренние переднезадние размеры от 35 до58, толщина переднего</w:t>
            </w:r>
            <w:proofErr w:type="gramEnd"/>
            <w:r w:rsidRPr="000F0813">
              <w:rPr>
                <w:rFonts w:ascii="Times New Roman" w:hAnsi="Times New Roman"/>
                <w:sz w:val="24"/>
                <w:szCs w:val="24"/>
              </w:rPr>
              <w:t xml:space="preserve"> фланца – не более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0F0813">
                <w:rPr>
                  <w:rFonts w:ascii="Times New Roman" w:hAnsi="Times New Roman"/>
                  <w:sz w:val="24"/>
                  <w:szCs w:val="24"/>
                </w:rPr>
                <w:t>8 мм</w:t>
              </w:r>
            </w:smartTag>
            <w:r w:rsidRPr="000F0813">
              <w:rPr>
                <w:rFonts w:ascii="Times New Roman" w:hAnsi="Times New Roman"/>
                <w:sz w:val="24"/>
                <w:szCs w:val="24"/>
              </w:rPr>
              <w:t xml:space="preserve">, толщина заднего фланца не более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0F0813">
                <w:rPr>
                  <w:rFonts w:ascii="Times New Roman" w:hAnsi="Times New Roman"/>
                  <w:sz w:val="24"/>
                  <w:szCs w:val="24"/>
                </w:rPr>
                <w:t>8 мм</w:t>
              </w:r>
            </w:smartTag>
            <w:r w:rsidRPr="000F0813">
              <w:rPr>
                <w:rFonts w:ascii="Times New Roman" w:hAnsi="Times New Roman"/>
                <w:sz w:val="24"/>
                <w:szCs w:val="24"/>
              </w:rPr>
              <w:t xml:space="preserve">, установка не должна требовать дополнительной костной резекции для формирования борозды под </w:t>
            </w:r>
            <w:r w:rsidRPr="000F08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надколенник, нет короба под задний стабилизатор, переднезадние размеры от 40 до </w:t>
            </w:r>
            <w:smartTag w:uri="urn:schemas-microsoft-com:office:smarttags" w:element="metricconverter">
              <w:smartTagPr>
                <w:attr w:name="ProductID" w:val="58 мм"/>
              </w:smartTagPr>
              <w:r w:rsidRPr="000F0813">
                <w:rPr>
                  <w:rFonts w:ascii="Times New Roman" w:hAnsi="Times New Roman"/>
                  <w:sz w:val="24"/>
                  <w:szCs w:val="24"/>
                </w:rPr>
                <w:t>58 мм</w:t>
              </w:r>
            </w:smartTag>
            <w:r w:rsidRPr="000F0813">
              <w:rPr>
                <w:rFonts w:ascii="Times New Roman" w:hAnsi="Times New Roman"/>
                <w:sz w:val="24"/>
                <w:szCs w:val="24"/>
              </w:rPr>
              <w:t xml:space="preserve">, внутренний переднезадней размер от 30 до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0F0813">
                <w:rPr>
                  <w:rFonts w:ascii="Times New Roman" w:hAnsi="Times New Roman"/>
                  <w:sz w:val="24"/>
                  <w:szCs w:val="24"/>
                </w:rPr>
                <w:t>40 мм</w:t>
              </w:r>
            </w:smartTag>
            <w:r w:rsidRPr="000F0813">
              <w:rPr>
                <w:rFonts w:ascii="Times New Roman" w:hAnsi="Times New Roman"/>
                <w:sz w:val="24"/>
                <w:szCs w:val="24"/>
              </w:rPr>
              <w:t>, наружновнутренний от 61 до 88 мм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0813" w:rsidRPr="000F0813" w:rsidRDefault="000F0813" w:rsidP="002C0658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>СКО, г. Петропавловск</w:t>
            </w:r>
            <w:r w:rsidRPr="000F0813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0F0813"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ул. Имени </w:t>
            </w:r>
            <w:proofErr w:type="spellStart"/>
            <w:r w:rsidRPr="000F0813"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>Тауфика</w:t>
            </w:r>
            <w:proofErr w:type="spellEnd"/>
            <w:r w:rsidRPr="000F0813"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0813"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>Мухам</w:t>
            </w:r>
            <w:r w:rsidRPr="000F0813"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lastRenderedPageBreak/>
              <w:t>ед-Рахимова</w:t>
            </w:r>
            <w:proofErr w:type="spellEnd"/>
            <w:r w:rsidRPr="000F0813"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>, 27</w:t>
            </w:r>
            <w:r w:rsidRPr="000F08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F0813">
              <w:rPr>
                <w:rFonts w:ascii="Times New Roman" w:hAnsi="Times New Roman"/>
                <w:sz w:val="24"/>
                <w:szCs w:val="24"/>
              </w:rPr>
              <w:t>(склад аптека)</w:t>
            </w: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>Поставка  в течени</w:t>
            </w:r>
            <w:proofErr w:type="gramStart"/>
            <w:r w:rsidRPr="000F0813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0F0813">
              <w:rPr>
                <w:rFonts w:ascii="Times New Roman" w:hAnsi="Times New Roman"/>
                <w:sz w:val="24"/>
                <w:szCs w:val="24"/>
              </w:rPr>
              <w:t xml:space="preserve"> 5 календарных</w:t>
            </w: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 xml:space="preserve">дней </w:t>
            </w:r>
            <w:r w:rsidRPr="000F0813">
              <w:rPr>
                <w:rFonts w:ascii="Times New Roman" w:hAnsi="Times New Roman"/>
                <w:sz w:val="24"/>
                <w:szCs w:val="24"/>
              </w:rPr>
              <w:lastRenderedPageBreak/>
              <w:t>после</w:t>
            </w: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 xml:space="preserve">подписания договора </w:t>
            </w:r>
          </w:p>
        </w:tc>
      </w:tr>
      <w:tr w:rsidR="000F0813" w:rsidRPr="000F0813" w:rsidTr="002C0658">
        <w:trPr>
          <w:trHeight w:val="673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</w:p>
        </w:tc>
        <w:tc>
          <w:tcPr>
            <w:tcW w:w="4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color w:val="000000"/>
                <w:sz w:val="24"/>
                <w:szCs w:val="24"/>
              </w:rPr>
              <w:t>1 086 240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813" w:rsidRPr="000F0813" w:rsidTr="002C0658">
        <w:trPr>
          <w:trHeight w:val="55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</w:p>
        </w:tc>
        <w:tc>
          <w:tcPr>
            <w:tcW w:w="4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813" w:rsidRPr="000F0813" w:rsidTr="002C0658">
        <w:trPr>
          <w:trHeight w:val="5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color w:val="000000"/>
                <w:sz w:val="24"/>
                <w:szCs w:val="24"/>
              </w:rPr>
              <w:t>Большеберцовый компонент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ind w:right="2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 xml:space="preserve">материал изготовления кобальтохромовый сплав. Имеет </w:t>
            </w:r>
            <w:proofErr w:type="spellStart"/>
            <w:r w:rsidRPr="000F0813">
              <w:rPr>
                <w:rFonts w:ascii="Times New Roman" w:hAnsi="Times New Roman"/>
                <w:sz w:val="24"/>
                <w:szCs w:val="24"/>
              </w:rPr>
              <w:t>килевидной</w:t>
            </w:r>
            <w:proofErr w:type="spellEnd"/>
            <w:r w:rsidRPr="000F0813">
              <w:rPr>
                <w:rFonts w:ascii="Times New Roman" w:hAnsi="Times New Roman"/>
                <w:sz w:val="24"/>
                <w:szCs w:val="24"/>
              </w:rPr>
              <w:t xml:space="preserve"> формы ножку со ступенчатыми боковыми крыльями, верхняя поверхность основания не полированная, материал – </w:t>
            </w:r>
            <w:proofErr w:type="spellStart"/>
            <w:proofErr w:type="gramStart"/>
            <w:r w:rsidRPr="000F0813">
              <w:rPr>
                <w:rFonts w:ascii="Times New Roman" w:hAnsi="Times New Roman"/>
                <w:sz w:val="24"/>
                <w:szCs w:val="24"/>
              </w:rPr>
              <w:t>кобальт-хромовый</w:t>
            </w:r>
            <w:proofErr w:type="spellEnd"/>
            <w:proofErr w:type="gramEnd"/>
            <w:r w:rsidRPr="000F0813">
              <w:rPr>
                <w:rFonts w:ascii="Times New Roman" w:hAnsi="Times New Roman"/>
                <w:sz w:val="24"/>
                <w:szCs w:val="24"/>
              </w:rPr>
              <w:t xml:space="preserve"> сплав, имеет не менее 8 типоразмеров в стандартной линейке.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0813" w:rsidRDefault="000F0813" w:rsidP="002C0658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 w:rsidP="002C0658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 w:rsidP="002C0658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 w:rsidP="002C0658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color w:val="000000"/>
                <w:sz w:val="24"/>
                <w:szCs w:val="24"/>
              </w:rPr>
              <w:t>657 500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813" w:rsidRPr="000F0813" w:rsidTr="002C0658">
        <w:trPr>
          <w:trHeight w:val="5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color w:val="000000"/>
                <w:sz w:val="24"/>
                <w:szCs w:val="24"/>
              </w:rPr>
              <w:t>Большеберцовый вкладыш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ind w:right="2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 xml:space="preserve">фиксированный, выполнен из </w:t>
            </w:r>
            <w:proofErr w:type="spellStart"/>
            <w:r w:rsidRPr="000F0813">
              <w:rPr>
                <w:rFonts w:ascii="Times New Roman" w:hAnsi="Times New Roman"/>
                <w:sz w:val="24"/>
                <w:szCs w:val="24"/>
              </w:rPr>
              <w:t>сверхвысокомолекулярного</w:t>
            </w:r>
            <w:proofErr w:type="spellEnd"/>
            <w:r w:rsidRPr="000F0813">
              <w:rPr>
                <w:rFonts w:ascii="Times New Roman" w:hAnsi="Times New Roman"/>
                <w:sz w:val="24"/>
                <w:szCs w:val="24"/>
              </w:rPr>
              <w:t xml:space="preserve"> полиэтилена, который для увеличения плотности поперечных связей между молекулами полиэтилена и повышения износоустойчивости, троекратно подвергнут в процессе производства воздействию гамма излучением в дозе 30 </w:t>
            </w:r>
            <w:proofErr w:type="spellStart"/>
            <w:r w:rsidRPr="000F0813">
              <w:rPr>
                <w:rFonts w:ascii="Times New Roman" w:hAnsi="Times New Roman"/>
                <w:sz w:val="24"/>
                <w:szCs w:val="24"/>
              </w:rPr>
              <w:t>кГр</w:t>
            </w:r>
            <w:proofErr w:type="spellEnd"/>
            <w:r w:rsidRPr="000F0813">
              <w:rPr>
                <w:rFonts w:ascii="Times New Roman" w:hAnsi="Times New Roman"/>
                <w:sz w:val="24"/>
                <w:szCs w:val="24"/>
              </w:rPr>
              <w:t xml:space="preserve"> (3 мрад),  с последующим нагреванием до 130 градусов по Цельсию. Верхняя поверхность вкладыша имеет форму сферической дуги, толщина 8 – </w:t>
            </w:r>
            <w:smartTag w:uri="urn:schemas-microsoft-com:office:smarttags" w:element="metricconverter">
              <w:smartTagPr>
                <w:attr w:name="ProductID" w:val="24 мм"/>
              </w:smartTagPr>
              <w:r w:rsidRPr="000F0813">
                <w:rPr>
                  <w:rFonts w:ascii="Times New Roman" w:hAnsi="Times New Roman"/>
                  <w:sz w:val="24"/>
                  <w:szCs w:val="24"/>
                </w:rPr>
                <w:t>24 мм</w:t>
              </w:r>
            </w:smartTag>
            <w:r w:rsidRPr="000F0813">
              <w:rPr>
                <w:rFonts w:ascii="Times New Roman" w:hAnsi="Times New Roman"/>
                <w:sz w:val="24"/>
                <w:szCs w:val="24"/>
              </w:rPr>
              <w:t xml:space="preserve">, конструкция </w:t>
            </w:r>
            <w:proofErr w:type="spellStart"/>
            <w:r w:rsidRPr="000F0813">
              <w:rPr>
                <w:rFonts w:ascii="Times New Roman" w:hAnsi="Times New Roman"/>
                <w:sz w:val="24"/>
                <w:szCs w:val="24"/>
              </w:rPr>
              <w:t>эндопротеза</w:t>
            </w:r>
            <w:proofErr w:type="spellEnd"/>
            <w:r w:rsidRPr="000F0813">
              <w:rPr>
                <w:rFonts w:ascii="Times New Roman" w:hAnsi="Times New Roman"/>
                <w:sz w:val="24"/>
                <w:szCs w:val="24"/>
              </w:rPr>
              <w:t xml:space="preserve"> и  форма большеберцового вкладыша не должны ограничивать ротационную подвижность бедренного компонента в пределах ±20 градусов.</w:t>
            </w:r>
          </w:p>
          <w:p w:rsidR="000F0813" w:rsidRPr="000F0813" w:rsidRDefault="000F0813" w:rsidP="002C0658">
            <w:pPr>
              <w:tabs>
                <w:tab w:val="left" w:pos="2078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13" w:rsidRDefault="000F0813" w:rsidP="002C0658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 w:rsidP="002C0658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 w:rsidP="002C0658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 w:rsidP="002C0658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 w:rsidP="002C0658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 w:rsidP="002C0658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 w:rsidP="002C0658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 w:rsidP="002C0658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Default="000F0813" w:rsidP="002C0658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0813" w:rsidRPr="000F0813" w:rsidRDefault="000F0813" w:rsidP="002C06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0813">
              <w:rPr>
                <w:rFonts w:ascii="Times New Roman" w:hAnsi="Times New Roman"/>
                <w:color w:val="000000"/>
                <w:sz w:val="24"/>
                <w:szCs w:val="24"/>
              </w:rPr>
              <w:t>461 210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3" w:rsidRPr="000F0813" w:rsidRDefault="000F0813" w:rsidP="002C06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0813" w:rsidRPr="000F0813" w:rsidRDefault="000F0813" w:rsidP="000F0813">
      <w:pPr>
        <w:rPr>
          <w:rFonts w:ascii="Times New Roman" w:hAnsi="Times New Roman"/>
          <w:sz w:val="24"/>
          <w:szCs w:val="24"/>
        </w:rPr>
      </w:pPr>
    </w:p>
    <w:p w:rsidR="000F0813" w:rsidRDefault="000F0813" w:rsidP="000F0813"/>
    <w:p w:rsidR="000F0813" w:rsidRDefault="000F0813" w:rsidP="000F0813"/>
    <w:p w:rsidR="000F0813" w:rsidRDefault="000F0813" w:rsidP="000F0813"/>
    <w:p w:rsidR="000F0813" w:rsidRDefault="000F0813" w:rsidP="000F0813"/>
    <w:p w:rsidR="000F0813" w:rsidRDefault="000F0813" w:rsidP="000F0813"/>
    <w:p w:rsidR="000F0813" w:rsidRDefault="000F0813" w:rsidP="000F0813"/>
    <w:p w:rsidR="000F0813" w:rsidRDefault="000F0813" w:rsidP="000F0813"/>
    <w:p w:rsidR="000F0813" w:rsidRDefault="000F0813" w:rsidP="000F0813"/>
    <w:p w:rsidR="000F0813" w:rsidRDefault="000F0813" w:rsidP="000F0813"/>
    <w:p w:rsidR="000F0813" w:rsidRDefault="000F0813" w:rsidP="004C69CF"/>
    <w:p w:rsidR="004C69CF" w:rsidRDefault="004C69CF" w:rsidP="004C69CF"/>
    <w:p w:rsidR="00D12C0F" w:rsidRDefault="00D12C0F" w:rsidP="00C8076A">
      <w:pPr>
        <w:tabs>
          <w:tab w:val="left" w:pos="2670"/>
        </w:tabs>
      </w:pPr>
    </w:p>
    <w:sectPr w:rsidR="00D12C0F" w:rsidSect="00D12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9CF"/>
    <w:rsid w:val="000F0813"/>
    <w:rsid w:val="001A1C4B"/>
    <w:rsid w:val="004C69CF"/>
    <w:rsid w:val="007B16E1"/>
    <w:rsid w:val="00A2569D"/>
    <w:rsid w:val="00BC6071"/>
    <w:rsid w:val="00BF7DDC"/>
    <w:rsid w:val="00C8076A"/>
    <w:rsid w:val="00CA1014"/>
    <w:rsid w:val="00D12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9C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C69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7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</cp:revision>
  <dcterms:created xsi:type="dcterms:W3CDTF">2019-03-14T05:45:00Z</dcterms:created>
  <dcterms:modified xsi:type="dcterms:W3CDTF">2019-03-14T07:02:00Z</dcterms:modified>
</cp:coreProperties>
</file>