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>2019 жылдың 21 қантар бастап баға ұсыныстарын сұрату тәсілімен сатып  алуды   өткізу туралы хабарландыру</w:t>
      </w:r>
    </w:p>
    <w:p>
      <w:pPr>
        <w:pStyle w:val="Normal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jc w:val="both"/>
        <w:rPr>
          <w:rFonts w:ascii="Times New Roman" w:hAnsi="Times New Roman"/>
          <w:sz w:val="18"/>
          <w:szCs w:val="18"/>
          <w:lang w:val="kk-KZ"/>
        </w:rPr>
      </w:pPr>
      <w:r>
        <w:rPr>
          <w:rStyle w:val="Strong"/>
          <w:rFonts w:ascii="Times New Roman" w:hAnsi="Times New Roman"/>
          <w:b w:val="false"/>
          <w:color w:val="000000"/>
          <w:sz w:val="18"/>
          <w:szCs w:val="18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  <w:lang w:val="kk-KZ"/>
        </w:rPr>
        <w:t>20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  <w:lang w:val="kk-KZ"/>
        </w:rPr>
        <w:t xml:space="preserve">                    Бұдан Әрі "Ережелер"</w:t>
      </w:r>
      <w:r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>
      <w:pPr>
        <w:pStyle w:val="Normal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2020 жылдың 28 қантар </w:t>
      </w:r>
      <w:r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>
      <w:pPr>
        <w:pStyle w:val="Normal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2020 жылдың 28 қантар </w:t>
      </w:r>
      <w:r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>
        <w:rPr>
          <w:rFonts w:ascii="Times New Roman" w:hAnsi="Times New Roman"/>
          <w:sz w:val="18"/>
          <w:szCs w:val="18"/>
          <w:lang w:val="kk-KZ"/>
        </w:rPr>
        <w:t>)өткізіледі.</w:t>
      </w:r>
    </w:p>
    <w:p>
      <w:pPr>
        <w:pStyle w:val="Normal"/>
        <w:rPr/>
      </w:pPr>
      <w:r>
        <w:rPr>
          <w:rFonts w:ascii="Times New Roman" w:hAnsi="Times New Roman"/>
          <w:sz w:val="18"/>
          <w:szCs w:val="18"/>
        </w:rPr>
        <w:t xml:space="preserve">Нәтижелердің хаттамалары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2020 жылдың  7ақпан </w:t>
      </w:r>
      <w:r>
        <w:rPr>
          <w:rFonts w:ascii="Times New Roman" w:hAnsi="Times New Roman"/>
          <w:sz w:val="18"/>
          <w:szCs w:val="18"/>
        </w:rPr>
        <w:t>интернет-ресурста орналастырылады.</w:t>
      </w:r>
    </w:p>
    <w:p>
      <w:pPr>
        <w:pStyle w:val="Normal"/>
        <w:rPr>
          <w:rFonts w:ascii="Times New Roman" w:hAnsi="Times New Roman"/>
          <w:sz w:val="18"/>
          <w:szCs w:val="18"/>
          <w:lang w:val="kk-KZ"/>
        </w:rPr>
      </w:pPr>
      <w:r>
        <w:rPr/>
      </w:r>
    </w:p>
    <w:p>
      <w:pPr>
        <w:pStyle w:val="Normal"/>
        <w:rPr>
          <w:rFonts w:ascii="Times New Roman" w:hAnsi="Times New Roman"/>
          <w:sz w:val="18"/>
          <w:szCs w:val="18"/>
          <w:lang w:val="kk-KZ"/>
        </w:rPr>
      </w:pPr>
      <w:r>
        <w:rPr/>
      </w:r>
    </w:p>
    <w:p>
      <w:pPr>
        <w:pStyle w:val="Normal"/>
        <w:rPr>
          <w:rFonts w:ascii="Times New Roman" w:hAnsi="Times New Roman"/>
          <w:b/>
          <w:b/>
          <w:sz w:val="18"/>
          <w:szCs w:val="18"/>
        </w:rPr>
      </w:pPr>
      <w:bookmarkStart w:id="0" w:name="__DdeLink__682_2289713282"/>
      <w:r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предложенийот </w:t>
      </w:r>
      <w:r>
        <w:rPr>
          <w:rFonts w:ascii="Times New Roman" w:hAnsi="Times New Roman"/>
          <w:b/>
          <w:sz w:val="18"/>
          <w:szCs w:val="18"/>
          <w:lang w:val="kk-KZ"/>
        </w:rPr>
        <w:t>21 января</w:t>
      </w:r>
      <w:r>
        <w:rPr>
          <w:rFonts w:ascii="Times New Roman" w:hAnsi="Times New Roman"/>
          <w:b/>
          <w:sz w:val="18"/>
          <w:szCs w:val="18"/>
        </w:rPr>
        <w:t xml:space="preserve"> 2020 года.</w:t>
      </w:r>
      <w:bookmarkEnd w:id="0"/>
      <w:r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</w:rPr>
        <w:t>Организатор закупа: КГП на ПХВ «Многопрофильная городская больница» КГУ «УЗ акимата СКО»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sz w:val="18"/>
          <w:szCs w:val="18"/>
        </w:rPr>
        <w:t>находящеяся по адресу: СКО, г. Петропавловск</w:t>
      </w:r>
      <w:r>
        <w:rPr>
          <w:rFonts w:ascii="Times New Roman" w:hAnsi="Times New Roman"/>
          <w:b/>
          <w:sz w:val="18"/>
          <w:szCs w:val="18"/>
        </w:rPr>
        <w:t xml:space="preserve">, 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</w:rPr>
        <w:t>ул. Имени Тауфика Мухамед-Рахимова, 27</w:t>
      </w:r>
      <w:r>
        <w:rPr>
          <w:rFonts w:ascii="Times New Roman" w:hAnsi="Times New Roman"/>
          <w:b/>
          <w:sz w:val="18"/>
          <w:szCs w:val="18"/>
          <w:shd w:fill="FFFFFF" w:val="clear"/>
        </w:rPr>
        <w:t>,</w:t>
      </w:r>
      <w:r>
        <w:rPr>
          <w:rFonts w:ascii="Times New Roman" w:hAnsi="Times New Roman"/>
          <w:sz w:val="18"/>
          <w:szCs w:val="18"/>
          <w:shd w:fill="FFFFFF" w:val="clear"/>
        </w:rPr>
        <w:t xml:space="preserve"> </w:t>
      </w:r>
      <w:r>
        <w:rPr>
          <w:rFonts w:ascii="Times New Roman" w:hAnsi="Times New Roman"/>
          <w:sz w:val="18"/>
          <w:szCs w:val="18"/>
        </w:rPr>
        <w:t>объявляет о проведении закупа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>
        <w:rPr>
          <w:rFonts w:ascii="Times New Roman" w:hAnsi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sz w:val="18"/>
          <w:szCs w:val="18"/>
        </w:rPr>
        <w:t>год ,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>
      <w:pPr>
        <w:pStyle w:val="Normal"/>
        <w:jc w:val="both"/>
        <w:rPr>
          <w:rFonts w:ascii="Times New Roman" w:hAnsi="Times New Roman"/>
          <w:sz w:val="18"/>
          <w:szCs w:val="18"/>
          <w:highlight w:val="white"/>
        </w:rPr>
      </w:pPr>
      <w:r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>
        <w:rPr>
          <w:rFonts w:ascii="Times New Roman" w:hAnsi="Times New Roman"/>
          <w:b/>
          <w:sz w:val="18"/>
          <w:szCs w:val="18"/>
          <w:lang w:val="kk-KZ"/>
        </w:rPr>
        <w:t>28 января 2020 года</w:t>
      </w:r>
      <w:r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>
        <w:rPr>
          <w:rFonts w:ascii="Times New Roman" w:hAnsi="Times New Roman"/>
          <w:b/>
          <w:sz w:val="18"/>
          <w:szCs w:val="18"/>
          <w:lang w:val="kk-KZ"/>
        </w:rPr>
        <w:t>в</w:t>
      </w:r>
      <w:r>
        <w:rPr>
          <w:rFonts w:ascii="Times New Roman" w:hAnsi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  <w:lang w:val="kk-KZ"/>
        </w:rPr>
        <w:t xml:space="preserve">ул. 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</w:rPr>
        <w:t>Имени Тауфика Мухамед-Рахимова, 27</w:t>
      </w:r>
      <w:r>
        <w:rPr>
          <w:rFonts w:ascii="Times New Roman" w:hAnsi="Times New Roman"/>
          <w:b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 xml:space="preserve">Контактный телефон:                 </w:t>
      </w:r>
      <w:r>
        <w:rPr>
          <w:rFonts w:ascii="Times New Roman" w:hAnsi="Times New Roman"/>
          <w:b/>
          <w:sz w:val="18"/>
          <w:szCs w:val="18"/>
        </w:rPr>
        <w:t>8(7152) 51-56-69</w:t>
      </w:r>
    </w:p>
    <w:p>
      <w:pPr>
        <w:pStyle w:val="Normal"/>
        <w:jc w:val="both"/>
        <w:rPr>
          <w:rFonts w:ascii="Times New Roman" w:hAnsi="Times New Roman"/>
          <w:b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>
        <w:rPr>
          <w:rFonts w:ascii="Times New Roman" w:hAnsi="Times New Roman"/>
          <w:b/>
          <w:sz w:val="18"/>
          <w:szCs w:val="18"/>
        </w:rPr>
        <w:t>28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>
        <w:rPr>
          <w:rFonts w:ascii="Times New Roman" w:hAnsi="Times New Roman"/>
          <w:b/>
          <w:sz w:val="18"/>
          <w:szCs w:val="18"/>
          <w:lang w:val="kk-KZ"/>
        </w:rPr>
        <w:t>Аптеке</w:t>
      </w:r>
      <w:r>
        <w:rPr>
          <w:rFonts w:ascii="Times New Roman" w:hAnsi="Times New Roman"/>
          <w:sz w:val="18"/>
          <w:szCs w:val="18"/>
          <w:lang w:val="kk-KZ"/>
        </w:rPr>
        <w:t xml:space="preserve"> 1 этаж (здание род. дома) по адресу: СКО, г. Петропавловск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  <w:lang w:val="kk-KZ"/>
        </w:rPr>
        <w:t xml:space="preserve">ул. </w:t>
      </w:r>
      <w:r>
        <w:rPr>
          <w:rStyle w:val="Strong"/>
          <w:rFonts w:ascii="Times New Roman" w:hAnsi="Times New Roman"/>
          <w:b w:val="false"/>
          <w:color w:val="000000"/>
          <w:sz w:val="18"/>
          <w:szCs w:val="18"/>
        </w:rPr>
        <w:t>Имени Тауфика Мухамед-Рахимова, 27</w:t>
      </w:r>
      <w:r>
        <w:rPr>
          <w:rFonts w:ascii="Times New Roman" w:hAnsi="Times New Roman"/>
          <w:b/>
          <w:sz w:val="18"/>
          <w:szCs w:val="18"/>
        </w:rPr>
        <w:t xml:space="preserve">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ресурсе </w:t>
      </w:r>
      <w:r>
        <w:rPr>
          <w:rFonts w:ascii="Times New Roman" w:hAnsi="Times New Roman"/>
          <w:b/>
          <w:sz w:val="18"/>
          <w:szCs w:val="18"/>
          <w:lang w:val="kk-KZ"/>
        </w:rPr>
        <w:t>7 февраля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>2020 года.</w:t>
      </w:r>
      <w:r>
        <w:rPr>
          <w:rFonts w:ascii="Times New Roman" w:hAnsi="Times New Roman"/>
          <w:sz w:val="18"/>
          <w:szCs w:val="18"/>
        </w:rPr>
        <w:t xml:space="preserve"> </w:t>
      </w:r>
    </w:p>
    <w:p>
      <w:pPr>
        <w:pStyle w:val="Normal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tbl>
      <w:tblPr>
        <w:tblW w:w="10207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6"/>
        <w:gridCol w:w="1703"/>
        <w:gridCol w:w="2126"/>
        <w:gridCol w:w="850"/>
        <w:gridCol w:w="992"/>
        <w:gridCol w:w="1277"/>
        <w:gridCol w:w="1275"/>
        <w:gridCol w:w="1416"/>
      </w:tblGrid>
      <w:tr>
        <w:trPr>
          <w:trHeight w:val="8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b/>
                <w:sz w:val="16"/>
                <w:szCs w:val="16"/>
              </w:rPr>
            </w:pPr>
            <w:r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>
            <w:pPr>
              <w:pStyle w:val="Normal"/>
              <w:rPr>
                <w:rFonts w:ascii="Times New Roman" w:hAnsi="Times New Roman"/>
                <w:b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16"/>
                <w:szCs w:val="16"/>
                <w:lang w:val="kk-KZ" w:eastAsia="ru-RU"/>
              </w:rPr>
            </w:pPr>
            <w:r>
              <w:rPr>
                <w:rFonts w:eastAsia="Times New Roman" w:ascii="Times New Roman" w:hAnsi="Times New Roman"/>
                <w:b/>
                <w:sz w:val="16"/>
                <w:szCs w:val="16"/>
                <w:lang w:val="kk-KZ"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16"/>
                <w:szCs w:val="16"/>
                <w:lang w:val="kk-KZ" w:eastAsia="ru-RU"/>
              </w:rPr>
            </w:pPr>
            <w:r>
              <w:rPr>
                <w:rFonts w:eastAsia="Times New Roman" w:ascii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b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</w:p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16"/>
                <w:szCs w:val="16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>
        <w:trPr>
          <w:trHeight w:val="36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Кабель ЭКГ на 5 отведений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Кабель ЭКГ на 5 отведений для монитора пациента ВМ5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 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115900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231800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договора,30-45 рабочих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Датчик сатурации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Expo M" w:ascii="Times New Roman" w:hAnsi="Times New Roman"/>
                <w:sz w:val="18"/>
                <w:szCs w:val="18"/>
                <w:lang w:eastAsia="ko-KR"/>
              </w:rPr>
              <w:t xml:space="preserve">Пульсоксиметрический сенсорный датчик </w:t>
            </w:r>
            <w:r>
              <w:rPr>
                <w:rFonts w:eastAsia="Expo M" w:ascii="Times New Roman" w:hAnsi="Times New Roman"/>
                <w:sz w:val="18"/>
                <w:szCs w:val="18"/>
                <w:lang w:val="en-US" w:eastAsia="ko-KR"/>
              </w:rPr>
              <w:t>SpO</w:t>
            </w:r>
            <w:r>
              <w:rPr>
                <w:rFonts w:eastAsia="Expo M" w:ascii="Times New Roman" w:hAnsi="Times New Roman"/>
                <w:sz w:val="18"/>
                <w:szCs w:val="18"/>
                <w:lang w:eastAsia="ko-KR"/>
              </w:rPr>
              <w:t xml:space="preserve">2 для </w:t>
            </w:r>
            <w:r>
              <w:rPr>
                <w:rFonts w:ascii="Times New Roman" w:hAnsi="Times New Roman"/>
                <w:sz w:val="18"/>
                <w:szCs w:val="18"/>
              </w:rPr>
              <w:t>монитора пациента ВМ5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10 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74900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749000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договора,30-45 рабочих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Датчик потока                 (в уп. 5 шт.)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Датчик потока для ИВЛ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Savina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 300, НДА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Fabius</w:t>
            </w:r>
          </w:p>
          <w:p>
            <w:pPr>
              <w:pStyle w:val="Normal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Expo M" w:ascii="Times New Roman" w:hAnsi="Times New Roman"/>
                <w:sz w:val="18"/>
                <w:szCs w:val="18"/>
                <w:lang w:eastAsia="ko-K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5 уп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611000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Датчик для измерения концентрации</w:t>
            </w:r>
          </w:p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Датчик для измерения концентрации</w:t>
            </w:r>
          </w:p>
          <w:p>
            <w:pPr>
              <w:pStyle w:val="Normal"/>
              <w:jc w:val="both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кислорода в основном потоке для НДА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Fabius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3 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193640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580920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Сервисный набор годичный для ИВЛ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Savina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 300</w:t>
            </w:r>
          </w:p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Состоит из:</w:t>
            </w:r>
          </w:p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  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(микрофильтр,</w:t>
            </w:r>
          </w:p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  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пылевой фильтр,</w:t>
            </w:r>
          </w:p>
          <w:p>
            <w:pPr>
              <w:pStyle w:val="Normal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  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мембрана, комплект)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587500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Керамические мембраны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Керамические мембраны для НДА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Fabius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3 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14194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42582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Влагосборник Waterlock 2, 12 шт.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Влагосборник для НДА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Fabius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1 уп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260568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260568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Контрольная линия для Scio, одноразовая, 10 шт.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Контрольная линия для НДА 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Fabius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1 уп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30080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Arial-BoldMT"/>
                <w:bCs/>
                <w:sz w:val="18"/>
                <w:szCs w:val="18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Датчик пульсоксиметрии (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Spo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 xml:space="preserve">2)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Датчик пульсоксиметрии (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  <w:lang w:val="en-US"/>
              </w:rPr>
              <w:t>Spo</w:t>
            </w:r>
            <w:r>
              <w:rPr>
                <w:rFonts w:eastAsia="Arial-BoldMT" w:ascii="Times New Roman" w:hAnsi="Times New Roman"/>
                <w:bCs/>
                <w:sz w:val="18"/>
                <w:szCs w:val="18"/>
              </w:rPr>
              <w:t>2) для взрослых, на палец руки, многоразовый, гибкая эластичная конструкция, силиконовая оболочка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86480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864800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Аккумуляторная батарея для дефибриллятора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Expo M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NKB-301V для дефибриллятора TEC-7721, Nihon Kohden, Япония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1 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325000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договора,90 дней</w:t>
            </w:r>
          </w:p>
        </w:tc>
      </w:tr>
      <w:tr>
        <w:trPr>
          <w:trHeight w:val="51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Датчик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SpO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MINDRAY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spacing w:lineRule="atLeast" w:line="192" w:before="72" w:after="72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Многоразовый</w:t>
            </w:r>
          </w:p>
          <w:p>
            <w:pPr>
              <w:pStyle w:val="Normal"/>
              <w:shd w:val="clear" w:color="auto" w:fill="FFFFFF"/>
              <w:spacing w:lineRule="atLeast" w:line="192" w:before="72" w:after="72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Категория пациента: взрослые (&gt;30 кг)</w:t>
            </w:r>
          </w:p>
          <w:p>
            <w:pPr>
              <w:pStyle w:val="Normal"/>
              <w:shd w:val="clear" w:color="auto" w:fill="FFFFFF"/>
              <w:spacing w:lineRule="atLeast" w:line="192" w:before="72" w:after="72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Тип датчика: напалечный, мягкий</w:t>
            </w:r>
          </w:p>
          <w:p>
            <w:pPr>
              <w:pStyle w:val="Normal"/>
              <w:shd w:val="clear" w:color="auto" w:fill="FFFFFF"/>
              <w:spacing w:lineRule="atLeast" w:line="192" w:before="72" w:after="72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Длина кабеля: 1.1 м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5 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val="kk-KZ"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kk-KZ" w:eastAsia="ru-RU"/>
              </w:rPr>
              <w:t>245000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Поставка  после подписания договора,                 5 дней</w:t>
            </w:r>
          </w:p>
        </w:tc>
      </w:tr>
    </w:tbl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>
          <w:rFonts w:ascii="Times New Roman" w:hAnsi="Times New Roman"/>
          <w:b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4976"/>
    <w:pPr>
      <w:widowControl/>
      <w:suppressAutoHyphens w:val="fals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0a0166"/>
    <w:pPr>
      <w:spacing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qFormat/>
    <w:rsid w:val="008f4976"/>
    <w:rPr>
      <w:b/>
      <w:bCs/>
    </w:rPr>
  </w:style>
  <w:style w:type="character" w:styleId="2" w:customStyle="1">
    <w:name w:val="Основной текст (2)_"/>
    <w:basedOn w:val="DefaultParagraphFont"/>
    <w:link w:val="20"/>
    <w:qFormat/>
    <w:rsid w:val="008f4976"/>
    <w:rPr>
      <w:shd w:fill="FFFFFF" w:val="clear"/>
    </w:rPr>
  </w:style>
  <w:style w:type="character" w:styleId="2TimesNewRoman105pt" w:customStyle="1">
    <w:name w:val="Основной текст (2) + Times New Roman;10;5 pt"/>
    <w:basedOn w:val="2"/>
    <w:qFormat/>
    <w:rsid w:val="008f4976"/>
    <w:rPr>
      <w:rFonts w:ascii="Times New Roman" w:hAnsi="Times New Roman" w:eastAsia="Times New Roman" w:cs="Times New Roman"/>
      <w:color w:val="000000"/>
      <w:spacing w:val="0"/>
      <w:w w:val="100"/>
      <w:sz w:val="21"/>
      <w:szCs w:val="21"/>
      <w:lang w:val="ru-RU" w:eastAsia="ru-RU" w:bidi="ru-RU"/>
    </w:rPr>
  </w:style>
  <w:style w:type="character" w:styleId="Style13">
    <w:name w:val="Интернет-ссылка"/>
    <w:rsid w:val="00b72513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0a016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21" w:customStyle="1">
    <w:name w:val="Основной текст (2)"/>
    <w:basedOn w:val="Normal"/>
    <w:link w:val="2"/>
    <w:qFormat/>
    <w:rsid w:val="008f4976"/>
    <w:pPr>
      <w:widowControl w:val="false"/>
      <w:shd w:val="clear" w:color="auto" w:fill="FFFFFF"/>
      <w:spacing w:lineRule="exact" w:line="259" w:before="0" w:after="540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NoSpacing">
    <w:name w:val="No Spacing"/>
    <w:uiPriority w:val="1"/>
    <w:qFormat/>
    <w:rsid w:val="00774a6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36"/>
      <w:szCs w:val="36"/>
      <w:lang w:eastAsia="ru-RU" w:val="ru-RU" w:bidi="ar-SA"/>
    </w:rPr>
  </w:style>
  <w:style w:type="paragraph" w:styleId="NormalWeb">
    <w:name w:val="Normal (Web)"/>
    <w:basedOn w:val="Normal"/>
    <w:unhideWhenUsed/>
    <w:qFormat/>
    <w:rsid w:val="004b124c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Application>LibreOffice/6.3.4.2$Windows_x86 LibreOffice_project/60da17e045e08f1793c57c00ba83cdfce946d0aa</Application>
  <Pages>3</Pages>
  <Words>733</Words>
  <Characters>4756</Characters>
  <CharactersWithSpaces>5638</CharactersWithSpaces>
  <Paragraphs>116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2018-04-25T07:36:00Z</dcterms:created>
  <dc:creator>аптека</dc:creator>
  <dc:description/>
  <dc:language>ru-RU</dc:language>
  <cp:lastModifiedBy/>
  <cp:lastPrinted>2019-02-11T07:45:00Z</cp:lastPrinted>
  <dcterms:modified xsi:type="dcterms:W3CDTF">2020-01-21T16:32:55Z</dcterms:modified>
  <cp:revision>256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