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E86526" w:rsidRDefault="0062055D" w:rsidP="0062055D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86526">
        <w:rPr>
          <w:rFonts w:ascii="Times New Roman" w:hAnsi="Times New Roman"/>
          <w:b/>
          <w:sz w:val="20"/>
          <w:szCs w:val="20"/>
          <w:lang w:val="kk-KZ"/>
        </w:rPr>
        <w:t>20</w:t>
      </w:r>
      <w:r w:rsidR="00DD6AB0" w:rsidRPr="00E86526">
        <w:rPr>
          <w:rFonts w:ascii="Times New Roman" w:hAnsi="Times New Roman"/>
          <w:b/>
          <w:sz w:val="20"/>
          <w:szCs w:val="20"/>
          <w:lang w:val="kk-KZ"/>
        </w:rPr>
        <w:t>2</w:t>
      </w:r>
      <w:r w:rsidR="007727EF">
        <w:rPr>
          <w:rFonts w:ascii="Times New Roman" w:hAnsi="Times New Roman"/>
          <w:b/>
          <w:sz w:val="20"/>
          <w:szCs w:val="20"/>
          <w:lang w:val="kk-KZ"/>
        </w:rPr>
        <w:t>0</w:t>
      </w:r>
      <w:r w:rsidRPr="00E86526">
        <w:rPr>
          <w:rFonts w:ascii="Times New Roman" w:hAnsi="Times New Roman"/>
          <w:b/>
          <w:sz w:val="20"/>
          <w:szCs w:val="20"/>
          <w:lang w:val="kk-KZ"/>
        </w:rPr>
        <w:t xml:space="preserve"> жылдың </w:t>
      </w:r>
      <w:r w:rsidR="00551C9B" w:rsidRPr="00E86526">
        <w:rPr>
          <w:rFonts w:ascii="Times New Roman" w:hAnsi="Times New Roman"/>
          <w:b/>
          <w:sz w:val="20"/>
          <w:szCs w:val="20"/>
          <w:lang w:val="kk-KZ"/>
        </w:rPr>
        <w:t>2</w:t>
      </w:r>
      <w:r w:rsidR="00C9118A" w:rsidRPr="00E86526">
        <w:rPr>
          <w:rFonts w:ascii="Times New Roman" w:hAnsi="Times New Roman"/>
          <w:b/>
          <w:sz w:val="20"/>
          <w:szCs w:val="20"/>
          <w:lang w:val="kk-KZ"/>
        </w:rPr>
        <w:t>5</w:t>
      </w:r>
      <w:r w:rsidR="002D3B8A" w:rsidRPr="00E8652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551C9B" w:rsidRPr="00E86526">
        <w:rPr>
          <w:rFonts w:ascii="Times New Roman" w:hAnsi="Times New Roman"/>
          <w:b/>
          <w:sz w:val="20"/>
          <w:szCs w:val="20"/>
          <w:lang w:val="kk-KZ"/>
        </w:rPr>
        <w:t>желтоқсан</w:t>
      </w:r>
      <w:r w:rsidR="00466318" w:rsidRPr="00E8652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E86526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</w:t>
      </w:r>
      <w:r w:rsidR="00E86526" w:rsidRPr="00E86526">
        <w:rPr>
          <w:rFonts w:ascii="Times New Roman" w:hAnsi="Times New Roman"/>
          <w:b/>
          <w:sz w:val="20"/>
          <w:szCs w:val="20"/>
          <w:lang w:val="kk-KZ"/>
        </w:rPr>
        <w:t xml:space="preserve"> сұрату тәсілімен сатып  алуды </w:t>
      </w:r>
      <w:r w:rsidRPr="00E86526">
        <w:rPr>
          <w:rFonts w:ascii="Times New Roman" w:hAnsi="Times New Roman"/>
          <w:b/>
          <w:sz w:val="20"/>
          <w:szCs w:val="20"/>
          <w:lang w:val="kk-KZ"/>
        </w:rPr>
        <w:t xml:space="preserve">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6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6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551C9B" w:rsidRPr="00E86526">
        <w:rPr>
          <w:rFonts w:ascii="Times New Roman" w:hAnsi="Times New Roman"/>
          <w:b/>
          <w:sz w:val="20"/>
          <w:szCs w:val="20"/>
          <w:lang w:val="kk-KZ"/>
        </w:rPr>
        <w:t>2</w:t>
      </w:r>
      <w:r w:rsidR="001416FF" w:rsidRPr="00E86526">
        <w:rPr>
          <w:rFonts w:ascii="Times New Roman" w:hAnsi="Times New Roman"/>
          <w:b/>
          <w:sz w:val="20"/>
          <w:szCs w:val="20"/>
          <w:lang w:val="kk-KZ"/>
        </w:rPr>
        <w:t xml:space="preserve">5 </w:t>
      </w:r>
      <w:r w:rsidR="00551C9B" w:rsidRPr="00E86526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7727EF">
        <w:rPr>
          <w:rFonts w:ascii="Times New Roman" w:hAnsi="Times New Roman"/>
          <w:b/>
          <w:sz w:val="20"/>
          <w:szCs w:val="20"/>
        </w:rPr>
        <w:t>0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>6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>6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850CF7" w:rsidRPr="00850CF7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Pr="00850CF7" w:rsidRDefault="00850CF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F7" w:rsidRPr="001416FF" w:rsidRDefault="00850CF7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Шприц инъе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ционный одн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кратного прим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нения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трёхд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тальный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150 мл, с наконечником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катетерной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насадки тип 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Pr="001416FF" w:rsidRDefault="00850CF7" w:rsidP="00BC04D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Шприц состоит из – цилиндра, штока и поршня. На внешней стороне цилиндра нанесена шкала до 150 мл (номинальная вместимость) с пр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должением шкалы до 160 мл.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Pr="00850CF7" w:rsidRDefault="00850CF7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4000</w:t>
            </w:r>
            <w:r w:rsidR="00AF34A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F34A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CF7" w:rsidRPr="00BC04DF" w:rsidRDefault="00A67CE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400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50CF7" w:rsidRPr="00850CF7" w:rsidRDefault="00AF34AB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50CF7" w:rsidRPr="00850CF7" w:rsidRDefault="00850CF7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50CF7" w:rsidRPr="00850CF7" w:rsidRDefault="00850CF7" w:rsidP="002D43C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850CF7" w:rsidRPr="00850CF7" w:rsidTr="00AF34A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Pr="00850CF7" w:rsidRDefault="00850CF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F7" w:rsidRPr="001416FF" w:rsidRDefault="00850CF7" w:rsidP="00BC04D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3-х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ходовый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краник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Pr="001416FF" w:rsidRDefault="00850CF7" w:rsidP="00AF34AB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Трехходовой кран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инфузионной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терапии и мониторинга, 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ний, оборот крана 360º, 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>точная регул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>и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>ровка благодаря та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>к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>тильному контролю,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соединения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ЛуэрЛок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Повышенная механ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ческая и химическая устойчивость, в т.ч.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липидустойчивость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при продолжительн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 контакта до 96 часов. Подходят для использования с 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паратами для влив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ний под давлением до 2 бар в соответствии с ISO 8536-10.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Изг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товлен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из полиамида, полипропилена,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ликарбоната,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пол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стерола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Не содержит латекс, ПВХ, ДЭГФ.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нократного примен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F7" w:rsidRPr="00850CF7" w:rsidRDefault="00AF34AB" w:rsidP="00AF34A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CF7" w:rsidRPr="00BC04DF" w:rsidRDefault="009C360D" w:rsidP="00AF34AB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390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50CF7" w:rsidRPr="00850CF7" w:rsidRDefault="00AF34AB" w:rsidP="00AF34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1 950 000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50CF7" w:rsidRPr="00850CF7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50CF7" w:rsidRPr="00850CF7" w:rsidRDefault="00AE762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Ррегулятор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рости 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Регулятор скорости гравитационной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фузии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Встроенная в/в система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Интр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фикс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Эйр 150 см 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отв. DIN EN ISO 8536-4, жидкостный фильтр 15 мкм, ин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ъ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екционная вставка.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Вентиляция измер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тельной трубки с 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тибактериальным фильтром и  гидр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фобная мембрана 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мерительной трубки предотвращает стек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ние жидкости, без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пасная и простая 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тановка в манометр, быстрое определение шкалы благодаря э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ф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фекту увеличения, удобная многоразовая манометрическая шкала. Поддержка скорости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на постоянном уровне в течение длительного времени. Устойч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вость к давлению до 50 кПа (0,5 бар). 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териалы: ПЭ, ПС,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СБ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ПП, силиконовая 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зина, боросиликатное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фиброволокно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АБС, ПК, ПВХ. Не соде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жит латекс, пласт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фикаторов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фталаты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нократного примен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7056A6">
            <w:pPr>
              <w:tabs>
                <w:tab w:val="left" w:pos="75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>1903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1 903 000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Pr="00850CF7" w:rsidRDefault="00AE762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DB690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Канюля назал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Канюля назальная кислородная 1500 мм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днократной стерил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заций взрослая.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1200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Катететр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ба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SilkyGoldсиликонизированный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2-х ход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вой,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стандарт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лина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395мм, размер 22 FR-объем баллона 30-50мл Катетер из ка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чукового латекса, покрытый силикон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вым маслом, состоит из 2-канального стержня с прокс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мальной воронкой, клапана наддува и дистального сдерж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вающего баллона. Гладкая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силикониз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рованная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канюля обеспечивает лёгкое введение и не тра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мирует мочеиспуск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тельный канал. Укр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плённая структура канюли предупре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дает выпадение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тера и препятствует его сдавливанию. Ультратонкий эл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стичный устойчивый к давлению баллон симметричной формы равномерно растяг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вается по всем 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правлениям, гарант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руя безопасность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циента. Увеличенный дренажный канал обеспечивает эффе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тивный отток мочи, а благодаря круглому просвету минимиз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руется его инкруст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ция. Объём наполн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баллона и размер стержня указаны на воронке каждого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тетера.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мер: 22</w:t>
            </w:r>
            <w:r w:rsidRPr="001416FF">
              <w:rPr>
                <w:rFonts w:ascii="Times New Roman" w:hAnsi="Times New Roman"/>
                <w:sz w:val="20"/>
                <w:szCs w:val="20"/>
                <w:lang w:val="en-US"/>
              </w:rPr>
              <w:t>Fr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. Вмест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мость баллона: 30-50мл. Цветовая код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ровка: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фиолетовый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 w:rsidP="00AF34A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330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165 000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ба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SilkyGoldсиликонизированный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2-х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ход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вой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тандарт,длина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395мм, размер 20 FR-объем баллона 30-50мл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Катетериз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чукового латекса, покрытый силикон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вым маслом, состоит из 2-канального стержня с прокс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мальной воронкой, клапана наддува и дистального сдерж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вающего баллона. Гладкая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силикониз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рованная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канюля обеспечивает лёгкое введение и не тра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мирует мочеиспуск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тельный канал. Укр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плённая структура канюли предупре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дает выпадение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тера и препятствует его сдавливанию. Ультратонкий эл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стичный устойчивый к давлению баллон симметричной формы равномерно растяг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вается по всем 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правлениям, гарант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руя безопасность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циента. Увеличенный дренажный канал обеспечивает эффе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тивный отток мочи, а благодаря круглому просвету минимиз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руется его инкруст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ция. Объём наполн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баллона и размер стержня указаны на воронке каждого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тетера.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мер: 20</w:t>
            </w:r>
            <w:r w:rsidRPr="001416FF">
              <w:rPr>
                <w:rFonts w:ascii="Times New Roman" w:hAnsi="Times New Roman"/>
                <w:sz w:val="20"/>
                <w:szCs w:val="20"/>
                <w:lang w:val="en-US"/>
              </w:rPr>
              <w:t>Fr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. Вмест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мость баллона: 30-50мл. Цветовая код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ровка: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жёлтый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 w:rsidP="00AF34A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330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Pr="00850CF7" w:rsidRDefault="00AE762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ба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SilkyGoldсиликонизированный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2-х ход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вой,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стандарт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лина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395мм, размер 18 FR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Катетериз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каучуков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го латекса,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покрытый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силиконовым маслом, состоит из 2-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канального стержня с проксимальной 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ронкой, клапана на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дува и дистального сдерживающего ба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лона. Гладкая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конизированная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нюля обеспечивает лёгкое введение и не травмирует мочеи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пускательный канал. Укреплённая стру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тура канюли пред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преждает выпадение катетера и препятс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вует его сдавлив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нию. Ультратонкий эластичный устойч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вый к давлению ба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лон симметричной формы равномерно растягивается по всем направлениям, гара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тируя безопасность пациента. Увеличе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ный дренажный канал обеспечивает эффе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тивный отток мочи, а благодаря круглому просвету минимиз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руется его инкруст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ция. Объём наполн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баллона и размер стержня указаны на воронке каждого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тетера.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мер: 18</w:t>
            </w:r>
            <w:r w:rsidRPr="001416FF">
              <w:rPr>
                <w:rFonts w:ascii="Times New Roman" w:hAnsi="Times New Roman"/>
                <w:sz w:val="20"/>
                <w:szCs w:val="20"/>
                <w:lang w:val="en-US"/>
              </w:rPr>
              <w:t>Fr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. Вмест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мость баллона: 30-50мл. Цветовая код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ровка: красный.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330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A67CE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Зонд желудо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ный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Нутритьюб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гастал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)100см.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A67CE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Назогастральные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зо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ды для длительного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питания СН 12, с прямым 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единением и со 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летом из нержаве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ю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щей стали, длиной 100 см. Прозрачные, изготовлены из мя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кого полиуретана, гибкие. Не содержит DEHP.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контрастными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ками и разметками длины для легкого и безопасного разм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A67CEF" w:rsidRDefault="00AE762F" w:rsidP="00A67C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4230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211 500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A67CE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Зонд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интест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нальный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питания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ритьюб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интест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нал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)120см.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A67CE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Назо-кишечные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зо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ды для длительного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питания СН 12, с прямым 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единением и со 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летом из нержаве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ю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щей стали, длиной 120 см. Прозрачные, изготовлены из мя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кого полиуретана, гибкие. Не содержит DEHP.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контрастными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ками и разметками длины с интервалом 10 см для легкого и безопасного разм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щения. Утяжеленные наконечники из вольфрама для точн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го размещения в то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кой кишке.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A67CEF" w:rsidRDefault="00AE762F" w:rsidP="00A67C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5900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295 000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Система к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зоматам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Система для внутр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венных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инфузийInfusomat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®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plusStandart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для 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вместимых насосов, стандартная.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Матер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ал ПВХ без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фталатов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, длиной 240/150 см. Объем заполнения 17.3 мл.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Силиконовый пер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стальтический се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мент трубки обесп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чивает постоянную точность в течение длительного времени (96 часов)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Цветовая маркировка фиксаторов верхней и нижней частей пер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стальтического се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мента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соответсвуют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аналогичным цвет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вым вставкам в нас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се, это помогает уст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новить систему в 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сос верно, быстро и просто. Капельная камера сверху имеет пункционный нак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нечник и антибакт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риальную вентил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цию с защитным ко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пачком. Нижняя часть капельницы гибкая, с фильтром тонкой очистки 15 мкм.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Анти-свободный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ток, благодаря спец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альному зажиму,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торый автоматически закрывает линию, работает по принципу кнопки, позволяет предотвратить риски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свободного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влив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стрый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шип ле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ко прокалывает 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личные порты ко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тейнеров. Капельница идеально подходит к датчику капель.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Роликовый регулятор с предохраняющим устройством для безопасной утилиз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ции наконечника.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1480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4 440 000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Одноразовые  электроды для ЭКГ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ЭКГ электроды взрослые однораз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вые 50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48 x1 мм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Электрод однораз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вый для ЭКГ без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некторов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твердогел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MSGLT-03G применяется для пр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ведения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холтеровск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 длительного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ниторирования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а также для ЭКГ иссл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дований в состоянии покоя и стресса.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Количество в пакете: 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762F" w:rsidRPr="00BC04DF" w:rsidRDefault="00AE76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>50 тенге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750 000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Мочеприемник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Мочеприемник пр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кроватный с нижним разгрузочным отве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стием, объём 2000 мл.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Снабжён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градуир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ванной шкалой 2000мл для измер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объёма мочи. Моча собирается в мешочек через трубку из ПВХ, соедин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тельный кончик кот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рой подходит к 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ю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бому размеру урол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гического катетера. Излишнее количество мочи вытекает через выходной прямой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Усиле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ное отверстие для подвешивания. 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шочки являются ге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метичными. Мат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риалы: ПВХ, пол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пропилен. Стерил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6000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BC04DF" w:rsidRDefault="00AE762F" w:rsidP="00DE2C9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215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1 290 000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Катетер ДУО 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Интродьюсерная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V-образная канюля с боковым портом, встроенный клапан резистентный к да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лению до 0,5 бар (профилактика во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душной эмболии и контакта с кровью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пациента), пункцио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ная игла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Сельдингера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тонкостенная, с овальным срезом, G18 (1.3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73мм), профилированный прозрачный павил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ь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он; 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Двухканальный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сокопоточный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тер с несмываемой разметкой в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мя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ким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кончиком и соедин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телем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луэр-лок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ма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кировкой канала и зажимом. Подвижные (съемные) и непо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вижные фиксиру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ю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щие крылья. 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термолабильный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титромбогенный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Rg-контрастный из пол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уретана, размерами F12 (4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20см), кан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лы G11/11, скорость потока 230/230 мл/мин.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Нитиноловый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пр</w:t>
            </w:r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водник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0.89мм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0,035''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50см с ги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ким J-наконечником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изгибоустойчивый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 в эргономичном держ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теле, нестираемая разметка длины;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направителем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Шприц соединение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ЛуэрЛок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5мл.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Коннекторы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б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зыгольного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доступа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Сэйфсайт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- 2 шт. 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лататор, скальпель. Кабель для ЭК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Г-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троля постановки катетера.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Не содержит ДЭГФ и латекс.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однократного 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50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BC04D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26300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1 315 000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Катетер ДУО 720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абор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двухпросве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катетера для катетеризации вер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ней полой вены по методу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Сельдингера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Пункционная игла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Сельдингера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тонк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стенная, с овальным срезом, G18 (1.3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70 мм), профилирова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ный прозрачный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вильон; 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Двухканальный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тер с несмываемой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разметкой в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мя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ким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кончиком и соедин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телем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луэр-лок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ма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кировкой канала и зажимом. Подвижные (съемные) и непо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вижные фиксиру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ю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щие крылья. 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термолабильный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титромбогенный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Rg-контрастный из пол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уретана, размерами F7 (2.4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20см), кан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лы G16/16, скорость потока 45/55 мл/мин.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Нитиноловый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пр</w:t>
            </w:r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водник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0.89мм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0,035''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50см с ги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ким J-наконечником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изгибоустойчивый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 в эргономичном держ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теле, нестираемая разметка длины;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направителем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Дил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татор. Заглушка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инъекционной ме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браной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Ин-стоппер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 числу каналов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тера 2шт, объем 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полнения 0,16. Не содержит ДЭГФ и латекс.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однократного 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200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BC04D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12860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2 572 000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Катетер МОНО 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абор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однопросве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катетера для катетеризации вер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ней полой вены по методу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Сельдингера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Пункционная игла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Сельдингера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тонк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стенная, с овальным срезом, G18 (1.3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70 мм), профилирова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ный прозрачный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вильон; 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Одноканальный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тер с несмываемой разметкой в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мя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ким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атравматичным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кончиком и соедин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телем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луэр-лок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ма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кировкой канала и зажимом. Подвижные (съемные) и непо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вижные фиксиру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ю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щие крылья. 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термолабильный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титромбогенный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Rg-контрастный из пол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уретана, размерами G14/F6 (1.4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2.1мм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20см), скорость пот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 85 мл/мин.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Нитиноловый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пр</w:t>
            </w:r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  <w:u w:val="single"/>
              </w:rPr>
              <w:t>водник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 0.89мм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0,035''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50см с ги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ким J-наконечником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изгибоустойчивый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 в эргономичном держ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теле, нестираемая разметка длины; с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направителем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Дил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татор. Заглушка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инъекционной ме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браной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Ин-стоппер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 числу каналов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тера, объем заполн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ния 0,16. Не содержит ДЭГФ и латекс.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одн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кратного 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700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BC04D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 xml:space="preserve">7000 </w:t>
            </w:r>
            <w:proofErr w:type="spellStart"/>
            <w:r w:rsidRPr="00BC04DF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4 900 000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062A4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062A4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062A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духовод, диаметром 100 мм размер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062A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850CF7" w:rsidRDefault="00AE762F" w:rsidP="00062A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062A45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12 500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духовод, диаметром 100 мм размер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8B4341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воздуховод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Направляющий во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духовод, диаметром 100 мм размер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8B4341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BC04D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BC04D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BC04D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850CF7" w:rsidRDefault="00AE762F" w:rsidP="00BC04D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4906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4906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4906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8114C2"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230 500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8.5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8.5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tabs>
                <w:tab w:val="left" w:pos="735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62F" w:rsidRPr="00850CF7" w:rsidRDefault="00AE762F" w:rsidP="00850CF7">
            <w:pPr>
              <w:tabs>
                <w:tab w:val="left" w:pos="735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8114C2"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282 000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8114C2"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282 000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850CF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150</w:t>
            </w:r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9E5D83"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352 500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трубка с манжетой одноразовая диаме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ром (</w:t>
            </w:r>
            <w:proofErr w:type="gramStart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): 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850CF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100</w:t>
            </w:r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Default="00AE762F">
            <w:r w:rsidRPr="009E5D83"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/венный №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Канюля/катетер для периферического внутривенного до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тупа: 20 G (1,1х33мм), скорость потока 61 мл/мин; Дополнительный инъекционный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гольный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порт расп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ложен по центру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нюли и не позволяет смещаться катетеру. Порт может быть 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блокирован при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вороте на 180°. Эл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стичные крылья. Цв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товая кодировка для легкого распознав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ния размера, </w:t>
            </w:r>
            <w:proofErr w:type="spellStart"/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розовый</w:t>
            </w:r>
            <w:proofErr w:type="spellEnd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. Используемые мат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риалы: ПУР, ПП, ПЭ,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акрилонитрилбутад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енстирол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силикон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вый, каучук, </w:t>
            </w:r>
            <w:proofErr w:type="spellStart"/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хромо-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никелевая</w:t>
            </w:r>
            <w:proofErr w:type="spellEnd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сталь.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тетер: полиуретан (ПУР) с 4 встроенн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ми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рентгеноконтрас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полосками.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нократного примен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1 260 000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/венный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Канюля/катетер для периферического внутривенного до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тупа: 18 G (1,3х45мм), скорость потока 96 мл/мин; Дополнительный инъекционный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гольный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порт расп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ложен по центру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нюли и не позволяет смещаться катетеру. Порт может быть 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блокирован при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вороте на 180°. Эл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стичные крылья. Цв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товая кодировка для легкого распознав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размера, зеленый. Используемые мат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риалы: ПУР, ПП, ПЭ,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акрилонитрилбутад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енстирол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силикон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вый, каучук, </w:t>
            </w:r>
            <w:proofErr w:type="spellStart"/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хромо-никелевая</w:t>
            </w:r>
            <w:proofErr w:type="spellEnd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сталь.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тетер: полиуретан (ПУР) с 4 встроенн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ми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рентгеноконтрас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полосками.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нократного примен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7000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850CF7" w:rsidRDefault="00AE762F" w:rsidP="006E56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1 470 000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/венный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Канюля/катетер для периферического внутривенного до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тупа: 16 G (1,7х50мм), скорость потока 196 мл/мин; Дополнительный инъекционный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гольный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порт расп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ложен по центру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нюли и не позволяет смещаться катетеру. Порт может быть 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блокирован при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вороте на 180°. Эл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стичные крылья. Цв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товая кодировка для легкого распознав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ния размера,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серый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. Используемые мат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риалы: ПУР, ПП, ПЭ,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акрилонитрилбутад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енстирол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силикон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вый, каучук, </w:t>
            </w:r>
            <w:proofErr w:type="spellStart"/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хромо-никелевая</w:t>
            </w:r>
            <w:proofErr w:type="spellEnd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сталь.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тетер: полиуретан (ПУР) с 4 встроенн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ми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рентгеноконтрас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ными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полосками.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нократного примен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1416FF" w:rsidRDefault="00AE762F" w:rsidP="006E56BB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330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Мини-спайк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Аспирационные и инъекционные </w:t>
            </w:r>
            <w:proofErr w:type="spellStart"/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фильтр-канюли</w:t>
            </w:r>
            <w:proofErr w:type="spellEnd"/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многодозных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флак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нов объемом 3 - 1000 мл.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Стандартный нак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нечник с антибакт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риальным воздушным фильтром 0,45 мкм, зеленый. 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Корпус: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стиролакр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лони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рил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акрилонитрилбутадиенстирол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Защи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ная крышка и заще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 из полиэтилена. Фильтр: акриловый сополимер на нейл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новой основе. Не 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держит латекс, ПВХ, ДЭГФ.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, для однократного 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1600 </w:t>
            </w:r>
            <w:proofErr w:type="spellStart"/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752 000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0F2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Антибактер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альный и прот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вовирусный фильтр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color w:val="000000"/>
                <w:sz w:val="20"/>
                <w:szCs w:val="20"/>
              </w:rPr>
              <w:t>Антибактериальный и противовирусный фильтр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5 400 000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AF34AB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Шприц для 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соса 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6E56BB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Шприц однократного применения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трехд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тальный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стерильный с номинальной вм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стимостью 50 мл для шприцевых насосов иглой 1,2х40 (G18х1 ½”)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AF34A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8000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1416FF" w:rsidRDefault="00AE762F" w:rsidP="001416F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200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AF34AB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1 600 000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E762F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Оригинальная линия для нас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удлинитель)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Удлинитель мед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цинский с наконе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никами "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female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и "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, длиной 1500 мм</w:t>
            </w:r>
          </w:p>
          <w:p w:rsidR="00AE762F" w:rsidRPr="001416FF" w:rsidRDefault="00AE762F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Удлинитель мед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цинский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линия) предн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значен для соедин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ния источника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зии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инфузионная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система, шприц шприцевого насоса) с внутривенным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тером. Трубка удл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нителя прозрачна,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изготовлена из мед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цинского ПВХ усто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й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чивого к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перег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бам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нутренний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ди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метр -1,5 мм, длина -1500 мм.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Устойчива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 давлению до 4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bar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 На концах удлинит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ля установлены нак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нечники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коннект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) «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Луер-Лок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» (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female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щитными колпачк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2F" w:rsidRPr="00850CF7" w:rsidRDefault="00AE762F" w:rsidP="00850CF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762F" w:rsidRPr="001416FF" w:rsidRDefault="00AE762F" w:rsidP="001416FF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190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762F" w:rsidRPr="00850CF7" w:rsidRDefault="00AE762F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570 000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762F" w:rsidRDefault="00AE762F"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820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762F" w:rsidRDefault="00AE762F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06328E" w:rsidRPr="00850CF7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50CF7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6328E" w:rsidRPr="00860654" w:rsidRDefault="0006328E" w:rsidP="00D11036">
      <w:pPr>
        <w:rPr>
          <w:rFonts w:ascii="Times New Roman" w:hAnsi="Times New Roman"/>
          <w:b/>
          <w:lang w:val="kk-KZ"/>
        </w:rPr>
      </w:pPr>
    </w:p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B4143B" w:rsidRPr="00860654" w:rsidRDefault="00B4143B" w:rsidP="00D11036">
      <w:pPr>
        <w:rPr>
          <w:rFonts w:ascii="Times New Roman" w:hAnsi="Times New Roman"/>
          <w:b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6F8"/>
    <w:rsid w:val="000E586F"/>
    <w:rsid w:val="00102F98"/>
    <w:rsid w:val="00111686"/>
    <w:rsid w:val="0012417F"/>
    <w:rsid w:val="00132263"/>
    <w:rsid w:val="001326CF"/>
    <w:rsid w:val="00133F05"/>
    <w:rsid w:val="00140868"/>
    <w:rsid w:val="001416FF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27EF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C360D"/>
    <w:rsid w:val="009D1F94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04DF"/>
    <w:rsid w:val="00BC7132"/>
    <w:rsid w:val="00BD372F"/>
    <w:rsid w:val="00BD4D16"/>
    <w:rsid w:val="00BE0207"/>
    <w:rsid w:val="00BE0553"/>
    <w:rsid w:val="00BE471F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C9E"/>
    <w:rsid w:val="00DE38F8"/>
    <w:rsid w:val="00E00912"/>
    <w:rsid w:val="00E061EC"/>
    <w:rsid w:val="00E175D5"/>
    <w:rsid w:val="00E17734"/>
    <w:rsid w:val="00E346AC"/>
    <w:rsid w:val="00E36C64"/>
    <w:rsid w:val="00E45A3C"/>
    <w:rsid w:val="00E556BF"/>
    <w:rsid w:val="00E63F24"/>
    <w:rsid w:val="00E722E5"/>
    <w:rsid w:val="00E86526"/>
    <w:rsid w:val="00E94D76"/>
    <w:rsid w:val="00ED09E2"/>
    <w:rsid w:val="00EE3ACA"/>
    <w:rsid w:val="00EE5D20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14</Pages>
  <Words>3322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285</cp:revision>
  <cp:lastPrinted>2020-12-25T04:04:00Z</cp:lastPrinted>
  <dcterms:created xsi:type="dcterms:W3CDTF">2018-04-25T07:36:00Z</dcterms:created>
  <dcterms:modified xsi:type="dcterms:W3CDTF">2020-12-29T02:03:00Z</dcterms:modified>
</cp:coreProperties>
</file>