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467" w:rsidRDefault="00231467" w:rsidP="0023146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 xml:space="preserve">Тендерлік құжаттамаға </w:t>
      </w:r>
    </w:p>
    <w:p w:rsidR="00231467" w:rsidRDefault="00231467" w:rsidP="0023146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2 қосымша</w:t>
      </w:r>
    </w:p>
    <w:p w:rsidR="00231467" w:rsidRDefault="00231467" w:rsidP="0023146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</w:rPr>
        <w:t xml:space="preserve">Приложение 2 </w:t>
      </w:r>
    </w:p>
    <w:p w:rsidR="00231467" w:rsidRDefault="00231467" w:rsidP="00231467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к тендерной документации</w:t>
      </w:r>
    </w:p>
    <w:p w:rsidR="00231467" w:rsidRDefault="00231467" w:rsidP="0023146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231467" w:rsidRDefault="00231467" w:rsidP="00231467">
      <w:pPr>
        <w:spacing w:after="0" w:line="240" w:lineRule="auto"/>
        <w:rPr>
          <w:rFonts w:ascii="Times New Roman" w:hAnsi="Times New Roman"/>
          <w:sz w:val="24"/>
          <w:szCs w:val="24"/>
          <w:lang w:val="kk-KZ"/>
        </w:rPr>
      </w:pPr>
    </w:p>
    <w:p w:rsidR="00231467" w:rsidRDefault="00231467" w:rsidP="002314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31467" w:rsidRDefault="00231467" w:rsidP="002314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Сатып алынатын тауарларғасипаттама</w:t>
      </w:r>
      <w:r>
        <w:rPr>
          <w:rFonts w:ascii="Times New Roman" w:hAnsi="Times New Roman"/>
          <w:lang w:val="kk-KZ"/>
        </w:rPr>
        <w:t xml:space="preserve"> </w:t>
      </w:r>
      <w:r>
        <w:rPr>
          <w:rFonts w:ascii="Times New Roman" w:hAnsi="Times New Roman"/>
        </w:rPr>
        <w:t xml:space="preserve">                                                               </w:t>
      </w:r>
    </w:p>
    <w:p w:rsidR="00231467" w:rsidRDefault="00231467" w:rsidP="002314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</w:rPr>
        <w:t>Техническая спецификация</w:t>
      </w:r>
    </w:p>
    <w:p w:rsidR="00231467" w:rsidRDefault="00231467" w:rsidP="002314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31467" w:rsidRDefault="00231467" w:rsidP="002314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tbl>
      <w:tblPr>
        <w:tblW w:w="14899" w:type="dxa"/>
        <w:tblInd w:w="93" w:type="dxa"/>
        <w:tblLook w:val="04A0"/>
      </w:tblPr>
      <w:tblGrid>
        <w:gridCol w:w="559"/>
        <w:gridCol w:w="5902"/>
        <w:gridCol w:w="851"/>
        <w:gridCol w:w="7587"/>
      </w:tblGrid>
      <w:tr w:rsidR="00231467" w:rsidTr="00231467">
        <w:trPr>
          <w:trHeight w:val="255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Атау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7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Техническое описание</w:t>
            </w:r>
            <w:r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18"/>
                <w:szCs w:val="18"/>
                <w:shd w:val="clear" w:color="auto" w:fill="FFFFFF"/>
              </w:rPr>
              <w:t>Техникалық сипаттама</w:t>
            </w:r>
          </w:p>
        </w:tc>
      </w:tr>
      <w:tr w:rsidR="00231467" w:rsidTr="00231467">
        <w:trPr>
          <w:trHeight w:val="385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Ножка бедренная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для тотального 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Аяқ бесцементной тіркелімнің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тазобедренного 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буыныныңтотального 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эндопротеза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үшін мықын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7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тазобедренного сустава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бесцементной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фиксации должен обеспечить достаточный объем движений и стабильность тазобедренного сустава.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Типоразмерный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ряд компонентов должен соответствовать антропометрическим характеристикам человека. Компоненты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эндопротезов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должны поставляться в стерильном виде. Компоненты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тазобедренного сустава: ножка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головка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чашка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вкладыш чашки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Ножка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: формы ножек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безворотничковая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классическая клиновидная,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двумя продольными бороздками по бокам, не имеет каких- либо поперечных ребер или выступов. Тип фиксации в биологических тканях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пресс-фит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проксимальная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остеоинтеграция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Материал ножки - бета титановый сплав  Ti-12Mo-6Zr-2Fe.Офсет ножки должен изменяться не за счет прямой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латерализации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а за счет изменения угла шейки с 127º в стандартном варианте и на 132º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латерализованном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Покрытие ножки - плазменное титановое напыление в сочетании с мелкодисперсным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гидроксиапатитовым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покрытием толщиной в 50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µm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циркулярно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только в проксимальной части ножки. Дистальная часть ножки не должна иметь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гидроксиапатитового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покрытия. Конус ножки: 11.3/12.36,  5.40. Количество стандартных типоразмеров: не менее 8 на каждый шеечный угол, всего не менее 16. Офсет - должен прогрессивно увеличиваться с увеличением размера ножки. Диапазон офсета (в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): От 34 до 49 у стандартной ножки и от 38 до 54 мм 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латерализованной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 Диапазон длин ножек в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): от 110 до 145. Шаг у первых 8 размеров 10 мм. Варианты длины шейки в 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): 30, 35, 37, 40. Возможность использования с керамическими головками. Резьбовое отверстие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противоротационным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углублением, направленным в сторону шейки в проксимальной части ножки для крепления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импактора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</w:tr>
      <w:tr w:rsidR="00231467" w:rsidTr="00231467">
        <w:trPr>
          <w:trHeight w:val="112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Головка бедренная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Бас 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тіркелімнің 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буынының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эндопротеза үшін мықын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7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Головка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: материал изготовления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CoCr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сплав высокой степени полировки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без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высокоэнергетической обработкой азотом для снижения коэффициента трения и повышения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смачиваемости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» поверхности. Диапазон диаметров головок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CoCr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) для использования в паре с полиэтиленовым или керамическим вкладышем: 22, 26, 28, 32, 36, 40, 44. Диапазон длин головок:  -4, 0, +4, +6, +8, +12 для головок всех диаметров, кроме диаметра в 36 мм и (-5, 0, +5, + 10 для головок 36 мм).</w:t>
            </w:r>
          </w:p>
        </w:tc>
      </w:tr>
      <w:tr w:rsidR="00231467" w:rsidTr="00231467">
        <w:trPr>
          <w:trHeight w:val="157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Чашка для тотального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тазобедренного сустава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Шыны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аяқ 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тазобедренного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буынның тотальногоэндопротеза үшін 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бесцементной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тіркелімге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7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Чашка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: формы чашек – полусферическая, с двойным радиусом (с расширением по периферии чашки на 1.8 мм). Тип фиксации в биологических тканях 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пресс-фит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спонгиозными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винтами. Материал чашки - титановый сплав (Ti-6Al-4V) Варианты расположения отверстий для винтов: без отверстий или с секторным (кластерным) расположением 3 или 5 отверстий, равномерно распределённые 10 отверстий. Чашка без отверстий должна иметь в комплекте заглушку для центрального отверстия. Покрытие чашки: плазменное напыление в сочетании с мелкодисперсным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гидроксиапатитовым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покрытием. Возможность использования вкладышей: полиэтиленовых, металлических, керамических в металлической обойме. Чашка не должна иметь металлического стопорного кольца.</w:t>
            </w:r>
          </w:p>
        </w:tc>
      </w:tr>
      <w:tr w:rsidR="00231467" w:rsidTr="00231467">
        <w:trPr>
          <w:trHeight w:val="337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Вкладыш для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тотального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тазобедренного сустава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бесцементной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фиксации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Қосымша бет бесцементной тіркелімнің 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тазобедренногобуынының тотального эндопротеза үшін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7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Вкладыш чашки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: фиксация вкладышей: полиэтиленовых – зацепление циркулярного пояска с желобком в чашке; металлических и керамических в металлической обойме – посадка на конус.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Деротационная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система вкладышей: полиэтиленовых – зацепление за не менее чем 12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деротационных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зуба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торца чашки прорезей торцевого кольца вкладыша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Металлических и керамических в металлической обойме – конусная посадка; зацепление за, не менее чем,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деротационных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зуба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торца чашки прорезей торцевого кольца обоймы вкладыша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. Особенности материала полиэтиленовых вкладышей - полиэтилен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ультравысокомолекулярного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веса (UHMWPE) стерилизуемый гамма излучением в азоте либо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сверхвысокомолекулярный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полиэтилен с большим количеством поперечных связей, в процессе производства троекратно подвергнутый воздействию гамма излучением в дозе 3 Мрад (суммарная доза 9 Мрад) и нагреванию до температуры 130 градусов (ниже точки плавления). Кодировка размеров чашек и вкладышей: альфа-код. Диапазоны размеров чашек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в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): От 40 мм до 74 мм с шагом по 2 мм. Внутренние диаметры полиэтиленовых вкладышей: 22 мм, 26 мм, 28 мм, 32 мм, 36, 40, 44 мм. Варианты дизайна полиэтиленовых вкладышей: стандартный, с козырьком;  эксцентричный. Варианты угла наклона вкладышей 0º, 10º. Возможность применения керамических вкладышей в чашках диаметром 46 – 70 мм с шагом и металлических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чашка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44-74 мм.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Длина 6,5 мм винтов: 16 мм, 20 мм, далее до 60 мм с шагом 5 мм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Требования к материалам: Согласно  ISO 5832 и ISO 5834.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>Регистрационное удостоверение Минздрава РК. Склад для обмена типоразмеров.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</w:tc>
      </w:tr>
      <w:tr w:rsidR="00231467" w:rsidTr="00231467">
        <w:trPr>
          <w:trHeight w:val="337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Спонгиозды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бұранда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Винт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спонгиозный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7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ind w:right="14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Spongious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бұранда: қосымша шыныаяқ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бекіту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үшін бұранда материал: титан қорытпасы (Ti-6AL-4V),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диаметрі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 6,5 мм, ұзындығы: 15, 20, 25, 30, 35, 40, 45, 50, 55, 60 мм.</w:t>
            </w:r>
          </w:p>
          <w:p w:rsidR="00231467" w:rsidRDefault="00231467">
            <w:pPr>
              <w:ind w:right="14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Винт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спонгиозный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Винт для дополнительной фиксации чашки материал: Титановый сплав (Ti-6Al-4V), диаметр: 6,5 мм, длина: 15, 20, 25, 30, 35, 40, 45, 50, 55, 60 мм. </w:t>
            </w:r>
          </w:p>
        </w:tc>
      </w:tr>
      <w:tr w:rsidR="00231467" w:rsidTr="00231467">
        <w:trPr>
          <w:trHeight w:val="292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Бедренный компонент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тотального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Мықынның компонент атаның 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буынының тотальногоэндопротеза үшін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7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Материал: кованый кобальтохромовый сплав. Форма анатомическая (правый и левый). Единый радиус в сагиттальной плоскости в диапазоне от 10 до 110 либо от 0 до 95 либо от -15 до 75  градусов. На внутренней поверхности дистальных мыщелков имеются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деротационные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ножки высотой до 15.5 мм и максимальным диаметром 7 мм либо места для крепления модульных ножек. 6-9 типоразмеров для правого и левого компонентов. Сочетаемость с большеберцовым вкладышем ± 1 размер. Сочетаемость с компонентом надколенника не ограничена. Тип фиксаци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цементная.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Особенность компонента с дополнительной стабилизацией и степенью связанности: обработка несущей поверхности - высокая степень полировки с высокоэнергетической бомбардировкой азотом; обработка внутренней поверхности - вафельная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макротекстура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глубиной 0,75 мм; допустимая наружновнутренняя ротация ±100; запас наружновнутреннего смещения: до ± 2.5 мм; толщина фланцев: передний - 8 мм. 6 стандартных размеров: переднезадние размеры по наружному мыщелку 54 до 76 мм, наружновнутренний от 56 до 81 мм, внутренние переднезадние размеры от 35 до 58, толщина переднего фланца 8 мм, толщина заднего фланца 8 мм. Ширина короба 17-21 мм. Высота короба 20-25 мм. Ширина мыщелков 20-30 мм. Высота основания ножки 42-48 мм. По внутренней поверхности резьбовые отверстия для фиксации задних и дистальных опорных блоков (аугментов).  </w:t>
            </w:r>
          </w:p>
        </w:tc>
      </w:tr>
      <w:tr w:rsidR="00231467" w:rsidTr="00231467">
        <w:trPr>
          <w:trHeight w:val="9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7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Большеберцовый компонент для тотального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Большеберцовый компонент </w:t>
            </w:r>
            <w:proofErr w:type="gram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тотального</w:t>
            </w:r>
            <w:proofErr w:type="gram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үшін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атаның буынының эндопротеза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7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Материал: кованый кобальтохромовый сплав. Форма: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универсальный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для правого и левого суставов. Ножка имеет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килевидную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форму со ступенчатыми боковыми крыльями. Типоразмеры: 6-8 типоразмеров. Толщина: до 3,3 мм. В компоненте с возможностью фиксац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ии ау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гментов и удлинителя ножки имеются 4 отверстия под фиксационные винты и отверстие в ножке для удлинителя ножки.</w:t>
            </w:r>
          </w:p>
        </w:tc>
      </w:tr>
      <w:tr w:rsidR="00231467" w:rsidTr="00231467">
        <w:trPr>
          <w:trHeight w:val="292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Вкладыш большеберцовый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тотального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эндопротеза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коленного сустава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Қосымша бет атаның буынының 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тотального </w:t>
            </w: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эндопротезаүшін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большеберцовый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75</w:t>
            </w:r>
          </w:p>
        </w:tc>
        <w:tc>
          <w:tcPr>
            <w:tcW w:w="7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Сверхвысокомолекулярный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полиэтилен с большим количеством поперечных связей. Особенности производства полиэтилена: троекратно подвергнут воздействию гамма-излучения в дозе 30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кГр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(3 мрад) с последующим нагреванием до 130 градусов по Цельсию (ниже температуры плавления полиэтилена). Фиксирующая проволока из кобальтохромового сплава.  Форма 4 варианта: CR для случаев с функционирующей задней крестообразной связкой и CS с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мыщелковой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стабилизацией для случаев с ослабленной или отсутствующей задней крестообразной связкой и PS для замещения крестообразной связки. Верхняя поверхность вкладышей СR, CS, PS имеет форму сферической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дуги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и дизайн не ограничивает ротационную подвижность бедренного компонента в пределах ±20 градусов. В переднем отделе артикулирующей поверхности имеется углубление по центру для снижения вероятности конфликта с надколенником. Задний край суставной поверхности вкладыша скошен. В варианте в CS увеличена высота переднего края вкладыша 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межмыщелковой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зоны. Вкладыши универсальны для правого и левого суставов. Особенность вкладыша типа TS: материал - высокомолекулярный полиэтилен стерилизованный гамма излучением в азоте. Стабилизирующий штифт – кобальтохромовый сплав. Встроенный наклон назад = 4°; Высота заднего стабилизатора: 23-27-29 мм; Ширина заднего стабилизатора: 16-20 мм; В передней части имеется фиксационная проволока.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  <w:t xml:space="preserve">Количество типоразмеров: 6-8. Толщина вкладыша с учетом толщины основания большеберцового компонента: 8 -24 мм. Механизм фиксации: защелкивание.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 w:type="page"/>
            </w:r>
          </w:p>
        </w:tc>
      </w:tr>
      <w:tr w:rsidR="00231467" w:rsidTr="00231467">
        <w:trPr>
          <w:trHeight w:val="450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5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Рентгеноконтрастный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костный цемент 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Рентгеноконтрастный</w:t>
            </w:r>
            <w:proofErr w:type="spellEnd"/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 </w:t>
            </w:r>
          </w:p>
          <w:p w:rsidR="00231467" w:rsidRDefault="00231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сүйектің цемент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0" w:line="276" w:lineRule="auto"/>
              <w:rPr>
                <w:rFonts w:cs="Times New Roman"/>
              </w:rPr>
            </w:pPr>
          </w:p>
        </w:tc>
        <w:tc>
          <w:tcPr>
            <w:tcW w:w="7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1467" w:rsidRDefault="0023146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Рентгенконтрастный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костный цемент: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Костный цемент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Должен собой представлять 2 стерильно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упакованных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компонента: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Один компонент: ампула, содержащая жидкий мономер, полная доза  следующего состава: 20 мл.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-М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етилметакрилат (мономер) 19,5 мл,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-N,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N-диметилтолидин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 0,5 мл,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Гидрокинон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1,5 мг.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Другой компонент: пакет полная доза порошка следующего состава 40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-Метилметакрилат–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стирен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кополимер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30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-Полиметилметакрилат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-Полиметилметакрилат 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-Бария Сульфат  4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гр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  Температура экзотермической реакции не более 60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˚С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, Вязкость цемента: Должен обладать средней вязкостью. Костный цемент должен в процессе приготовления проходить через фазы низкой и фазу средней вязкости. Производитель должен официально разрешать применять цемент как в фазе низкой, так и в фазе средней вязкости.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 xml:space="preserve">Время работы от 7 до 8 минут.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br/>
              <w:t>Стерильность: Система является одноразовой и поставляется в стерильной упаковке.</w:t>
            </w:r>
          </w:p>
        </w:tc>
      </w:tr>
    </w:tbl>
    <w:p w:rsidR="00231467" w:rsidRDefault="00231467" w:rsidP="002314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31467" w:rsidRDefault="00231467" w:rsidP="002314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31467" w:rsidRDefault="00231467" w:rsidP="00231467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85" w:lineRule="atLeast"/>
        <w:ind w:left="0"/>
        <w:textAlignment w:val="baseline"/>
        <w:rPr>
          <w:color w:val="000000"/>
          <w:spacing w:val="2"/>
          <w:sz w:val="20"/>
          <w:szCs w:val="20"/>
          <w:lang w:val="kk-KZ"/>
        </w:rPr>
      </w:pPr>
      <w:r>
        <w:rPr>
          <w:color w:val="000000"/>
          <w:spacing w:val="2"/>
          <w:sz w:val="20"/>
          <w:szCs w:val="20"/>
          <w:lang w:val="kk-KZ"/>
        </w:rPr>
        <w:t>Сатып алынатын медициналық бұйымдарға арналған көрсетудің кепілдендірілген тегін медициналық көмек және медициналық көмек жүйесінде міндетті әлеуметтік медициналық сақтандыру мынадай талаптар қойылады: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К закупаемым медицинским изделиям,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предъявляются следующие требования:</w:t>
      </w:r>
    </w:p>
    <w:p w:rsidR="00231467" w:rsidRDefault="00231467" w:rsidP="00231467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ind w:left="0"/>
        <w:textAlignment w:val="baseline"/>
        <w:rPr>
          <w:color w:val="000000"/>
          <w:spacing w:val="2"/>
          <w:sz w:val="20"/>
          <w:szCs w:val="20"/>
        </w:rPr>
      </w:pPr>
      <w:proofErr w:type="spellStart"/>
      <w:r>
        <w:rPr>
          <w:color w:val="000000"/>
          <w:spacing w:val="2"/>
          <w:sz w:val="20"/>
          <w:szCs w:val="20"/>
        </w:rPr>
        <w:t>болуы</w:t>
      </w:r>
      <w:proofErr w:type="spellEnd"/>
      <w:r>
        <w:rPr>
          <w:color w:val="000000"/>
          <w:spacing w:val="2"/>
          <w:sz w:val="20"/>
          <w:szCs w:val="20"/>
        </w:rPr>
        <w:t xml:space="preserve"> және дә</w:t>
      </w:r>
      <w:proofErr w:type="gramStart"/>
      <w:r>
        <w:rPr>
          <w:color w:val="000000"/>
          <w:spacing w:val="2"/>
          <w:sz w:val="20"/>
          <w:szCs w:val="20"/>
        </w:rPr>
        <w:t>р</w:t>
      </w:r>
      <w:proofErr w:type="gramEnd"/>
      <w:r>
        <w:rPr>
          <w:color w:val="000000"/>
          <w:spacing w:val="2"/>
          <w:sz w:val="20"/>
          <w:szCs w:val="20"/>
        </w:rPr>
        <w:t xml:space="preserve">ілік заттардың, медициналық мақсаттағы бұйымдардың Қазақстан </w:t>
      </w:r>
      <w:proofErr w:type="spellStart"/>
      <w:r>
        <w:rPr>
          <w:color w:val="000000"/>
          <w:spacing w:val="2"/>
          <w:sz w:val="20"/>
          <w:szCs w:val="20"/>
        </w:rPr>
        <w:t>Республикасында</w:t>
      </w:r>
      <w:proofErr w:type="spellEnd"/>
      <w:r>
        <w:rPr>
          <w:color w:val="000000"/>
          <w:spacing w:val="2"/>
          <w:sz w:val="20"/>
          <w:szCs w:val="20"/>
        </w:rPr>
        <w:t xml:space="preserve"> осы Кодекстің </w:t>
      </w:r>
      <w:proofErr w:type="spellStart"/>
      <w:r>
        <w:rPr>
          <w:color w:val="000000"/>
          <w:spacing w:val="2"/>
          <w:sz w:val="20"/>
          <w:szCs w:val="20"/>
        </w:rPr>
        <w:t>ережелеріне</w:t>
      </w:r>
      <w:proofErr w:type="spellEnd"/>
      <w:r>
        <w:rPr>
          <w:color w:val="000000"/>
          <w:spacing w:val="2"/>
          <w:sz w:val="20"/>
          <w:szCs w:val="20"/>
        </w:rPr>
        <w:t xml:space="preserve"> сәйкес және </w:t>
      </w:r>
      <w:proofErr w:type="spellStart"/>
      <w:r>
        <w:rPr>
          <w:color w:val="000000"/>
          <w:spacing w:val="2"/>
          <w:sz w:val="20"/>
          <w:szCs w:val="20"/>
        </w:rPr>
        <w:t>белгіленген</w:t>
      </w:r>
      <w:proofErr w:type="spellEnd"/>
      <w:r>
        <w:rPr>
          <w:color w:val="000000"/>
          <w:spacing w:val="2"/>
          <w:sz w:val="20"/>
          <w:szCs w:val="20"/>
        </w:rPr>
        <w:t xml:space="preserve"> тәртіппен денсаулық сақтау саласындағы уәкілетті орган 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наличие регистрации лекарственных средств, медицинских изделий в Республике Казахстан в соответствии с положениями </w:t>
      </w:r>
      <w:hyperlink r:id="rId5" w:anchor="z1" w:history="1">
        <w:r>
          <w:rPr>
            <w:rStyle w:val="a3"/>
            <w:rFonts w:eastAsiaTheme="majorEastAsia"/>
            <w:color w:val="073A5E"/>
            <w:spacing w:val="2"/>
            <w:sz w:val="20"/>
            <w:szCs w:val="20"/>
          </w:rPr>
          <w:t>Кодекса</w:t>
        </w:r>
      </w:hyperlink>
      <w:r>
        <w:rPr>
          <w:color w:val="000000"/>
          <w:spacing w:val="2"/>
          <w:sz w:val="20"/>
          <w:szCs w:val="20"/>
        </w:rPr>
        <w:t xml:space="preserve"> и порядке, определенном уполномоченным органом в области здравоохранения </w:t>
      </w:r>
    </w:p>
    <w:p w:rsidR="00231467" w:rsidRDefault="00231467" w:rsidP="00231467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ind w:left="0"/>
        <w:textAlignment w:val="baseline"/>
        <w:rPr>
          <w:color w:val="000000"/>
          <w:spacing w:val="2"/>
          <w:sz w:val="20"/>
          <w:szCs w:val="20"/>
        </w:rPr>
      </w:pPr>
      <w:proofErr w:type="gramStart"/>
      <w:r>
        <w:rPr>
          <w:color w:val="000000"/>
          <w:spacing w:val="2"/>
          <w:sz w:val="20"/>
          <w:szCs w:val="20"/>
        </w:rPr>
        <w:t xml:space="preserve">медициналық бұйымдар сақталады және </w:t>
      </w:r>
      <w:proofErr w:type="spellStart"/>
      <w:r>
        <w:rPr>
          <w:color w:val="000000"/>
          <w:spacing w:val="2"/>
          <w:sz w:val="20"/>
          <w:szCs w:val="20"/>
        </w:rPr>
        <w:t>тасымалданады</w:t>
      </w:r>
      <w:proofErr w:type="spellEnd"/>
      <w:r>
        <w:rPr>
          <w:color w:val="000000"/>
          <w:spacing w:val="2"/>
          <w:sz w:val="20"/>
          <w:szCs w:val="20"/>
        </w:rPr>
        <w:t xml:space="preserve"> сақталуы қамтамасыз </w:t>
      </w:r>
      <w:proofErr w:type="spellStart"/>
      <w:r>
        <w:rPr>
          <w:color w:val="000000"/>
          <w:spacing w:val="2"/>
          <w:sz w:val="20"/>
          <w:szCs w:val="20"/>
        </w:rPr>
        <w:t>етілетін</w:t>
      </w:r>
      <w:proofErr w:type="spellEnd"/>
      <w:r>
        <w:rPr>
          <w:color w:val="000000"/>
          <w:spacing w:val="2"/>
          <w:sz w:val="20"/>
          <w:szCs w:val="20"/>
        </w:rPr>
        <w:t xml:space="preserve"> жағдайларда олардың қауіпсіздігін, </w:t>
      </w:r>
      <w:proofErr w:type="spellStart"/>
      <w:r>
        <w:rPr>
          <w:color w:val="000000"/>
          <w:spacing w:val="2"/>
          <w:sz w:val="20"/>
          <w:szCs w:val="20"/>
        </w:rPr>
        <w:t>тиімділігін</w:t>
      </w:r>
      <w:proofErr w:type="spellEnd"/>
      <w:r>
        <w:rPr>
          <w:color w:val="000000"/>
          <w:spacing w:val="2"/>
          <w:sz w:val="20"/>
          <w:szCs w:val="20"/>
        </w:rPr>
        <w:t xml:space="preserve"> және </w:t>
      </w:r>
      <w:proofErr w:type="spellStart"/>
      <w:r>
        <w:rPr>
          <w:color w:val="000000"/>
          <w:spacing w:val="2"/>
          <w:sz w:val="20"/>
          <w:szCs w:val="20"/>
        </w:rPr>
        <w:t>сапасын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Ережелеріне</w:t>
      </w:r>
      <w:proofErr w:type="spellEnd"/>
      <w:r>
        <w:rPr>
          <w:color w:val="000000"/>
          <w:spacing w:val="2"/>
          <w:sz w:val="20"/>
          <w:szCs w:val="20"/>
        </w:rPr>
        <w:t xml:space="preserve"> сәйкес </w:t>
      </w:r>
      <w:proofErr w:type="spellStart"/>
      <w:r>
        <w:rPr>
          <w:color w:val="000000"/>
          <w:spacing w:val="2"/>
          <w:sz w:val="20"/>
          <w:szCs w:val="20"/>
        </w:rPr>
        <w:t>тасымалдау</w:t>
      </w:r>
      <w:proofErr w:type="spellEnd"/>
      <w:r>
        <w:rPr>
          <w:color w:val="000000"/>
          <w:spacing w:val="2"/>
          <w:sz w:val="20"/>
          <w:szCs w:val="20"/>
        </w:rPr>
        <w:t xml:space="preserve"> және сақтау медициналық бұйымдардың </w:t>
      </w:r>
      <w:proofErr w:type="spellStart"/>
      <w:r>
        <w:rPr>
          <w:color w:val="000000"/>
          <w:spacing w:val="2"/>
          <w:sz w:val="20"/>
          <w:szCs w:val="20"/>
        </w:rPr>
        <w:t>бекітілген</w:t>
      </w:r>
      <w:proofErr w:type="spellEnd"/>
      <w:r>
        <w:rPr>
          <w:color w:val="000000"/>
          <w:spacing w:val="2"/>
          <w:sz w:val="20"/>
          <w:szCs w:val="20"/>
        </w:rPr>
        <w:t xml:space="preserve"> денсаулық сақтау саласындағы уәкілетті орган;</w:t>
      </w:r>
      <w:proofErr w:type="gramEnd"/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медицинских изделий, утвержденными уполномоченным органом в области здравоохранения;</w:t>
      </w:r>
    </w:p>
    <w:p w:rsidR="00231467" w:rsidRDefault="00231467" w:rsidP="00231467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ind w:left="0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таңбалауды, тұтыну </w:t>
      </w:r>
      <w:proofErr w:type="spellStart"/>
      <w:r>
        <w:rPr>
          <w:color w:val="000000"/>
          <w:spacing w:val="2"/>
          <w:sz w:val="20"/>
          <w:szCs w:val="20"/>
        </w:rPr>
        <w:t>орамы</w:t>
      </w:r>
      <w:proofErr w:type="spellEnd"/>
      <w:r>
        <w:rPr>
          <w:color w:val="000000"/>
          <w:spacing w:val="2"/>
          <w:sz w:val="20"/>
          <w:szCs w:val="20"/>
        </w:rPr>
        <w:t xml:space="preserve"> мен нұсқаулықты медициналық бұйымдарды қолдану </w:t>
      </w:r>
      <w:proofErr w:type="spellStart"/>
      <w:r>
        <w:rPr>
          <w:color w:val="000000"/>
          <w:spacing w:val="2"/>
          <w:sz w:val="20"/>
          <w:szCs w:val="20"/>
        </w:rPr>
        <w:t>бойынша</w:t>
      </w:r>
      <w:proofErr w:type="spellEnd"/>
      <w:r>
        <w:rPr>
          <w:color w:val="000000"/>
          <w:spacing w:val="2"/>
          <w:sz w:val="20"/>
          <w:szCs w:val="20"/>
        </w:rPr>
        <w:t xml:space="preserve"> сәйкес </w:t>
      </w:r>
      <w:proofErr w:type="spellStart"/>
      <w:r>
        <w:rPr>
          <w:color w:val="000000"/>
          <w:spacing w:val="2"/>
          <w:sz w:val="20"/>
          <w:szCs w:val="20"/>
        </w:rPr>
        <w:t>келетін</w:t>
      </w:r>
      <w:proofErr w:type="spellEnd"/>
      <w:r>
        <w:rPr>
          <w:color w:val="000000"/>
          <w:spacing w:val="2"/>
          <w:sz w:val="20"/>
          <w:szCs w:val="20"/>
        </w:rPr>
        <w:t xml:space="preserve"> Қазақстан </w:t>
      </w:r>
      <w:proofErr w:type="spellStart"/>
      <w:r>
        <w:rPr>
          <w:color w:val="000000"/>
          <w:spacing w:val="2"/>
          <w:sz w:val="20"/>
          <w:szCs w:val="20"/>
        </w:rPr>
        <w:t>Республикасы</w:t>
      </w:r>
      <w:proofErr w:type="spellEnd"/>
      <w:r>
        <w:rPr>
          <w:color w:val="000000"/>
          <w:spacing w:val="2"/>
          <w:sz w:val="20"/>
          <w:szCs w:val="20"/>
        </w:rPr>
        <w:t xml:space="preserve"> заңнамасының </w:t>
      </w:r>
      <w:proofErr w:type="spellStart"/>
      <w:r>
        <w:rPr>
          <w:color w:val="000000"/>
          <w:spacing w:val="2"/>
          <w:sz w:val="20"/>
          <w:szCs w:val="20"/>
        </w:rPr>
        <w:t>талаптарына</w:t>
      </w:r>
      <w:proofErr w:type="spellEnd"/>
      <w:r>
        <w:rPr>
          <w:color w:val="000000"/>
          <w:spacing w:val="2"/>
          <w:sz w:val="20"/>
          <w:szCs w:val="20"/>
        </w:rPr>
        <w:t xml:space="preserve"> және </w:t>
      </w:r>
      <w:proofErr w:type="spellStart"/>
      <w:r>
        <w:rPr>
          <w:color w:val="000000"/>
          <w:spacing w:val="2"/>
          <w:sz w:val="20"/>
          <w:szCs w:val="20"/>
        </w:rPr>
        <w:t>белгіленген</w:t>
      </w:r>
      <w:proofErr w:type="spellEnd"/>
      <w:r>
        <w:rPr>
          <w:color w:val="000000"/>
          <w:spacing w:val="2"/>
          <w:sz w:val="20"/>
          <w:szCs w:val="20"/>
        </w:rPr>
        <w:t xml:space="preserve"> тәртіпке денсаулық сақтау саласындағы </w:t>
      </w:r>
      <w:proofErr w:type="gramStart"/>
      <w:r>
        <w:rPr>
          <w:color w:val="000000"/>
          <w:spacing w:val="2"/>
          <w:sz w:val="20"/>
          <w:szCs w:val="20"/>
        </w:rPr>
        <w:t>у</w:t>
      </w:r>
      <w:proofErr w:type="gramEnd"/>
      <w:r>
        <w:rPr>
          <w:color w:val="000000"/>
          <w:spacing w:val="2"/>
          <w:sz w:val="20"/>
          <w:szCs w:val="20"/>
        </w:rPr>
        <w:t>әкілетті орган;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lastRenderedPageBreak/>
        <w:t>маркировка, потребительская упаковка и инструкция по применению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231467" w:rsidRDefault="00231467" w:rsidP="00231467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285" w:lineRule="atLeast"/>
        <w:ind w:left="0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жарамдылық </w:t>
      </w:r>
      <w:proofErr w:type="spellStart"/>
      <w:r>
        <w:rPr>
          <w:color w:val="000000"/>
          <w:spacing w:val="2"/>
          <w:sz w:val="20"/>
          <w:szCs w:val="20"/>
        </w:rPr>
        <w:t>мерзі</w:t>
      </w:r>
      <w:proofErr w:type="gramStart"/>
      <w:r>
        <w:rPr>
          <w:color w:val="000000"/>
          <w:spacing w:val="2"/>
          <w:sz w:val="20"/>
          <w:szCs w:val="20"/>
        </w:rPr>
        <w:t>м</w:t>
      </w:r>
      <w:proofErr w:type="gramEnd"/>
      <w:r>
        <w:rPr>
          <w:color w:val="000000"/>
          <w:spacing w:val="2"/>
          <w:sz w:val="20"/>
          <w:szCs w:val="20"/>
        </w:rPr>
        <w:t>і</w:t>
      </w:r>
      <w:proofErr w:type="spellEnd"/>
      <w:r>
        <w:rPr>
          <w:color w:val="000000"/>
          <w:spacing w:val="2"/>
          <w:sz w:val="20"/>
          <w:szCs w:val="20"/>
        </w:rPr>
        <w:t xml:space="preserve"> медициналық бұйымдарды </w:t>
      </w:r>
      <w:proofErr w:type="spellStart"/>
      <w:r>
        <w:rPr>
          <w:color w:val="000000"/>
          <w:spacing w:val="2"/>
          <w:sz w:val="20"/>
          <w:szCs w:val="20"/>
        </w:rPr>
        <w:t>жеткізу</w:t>
      </w:r>
      <w:proofErr w:type="spellEnd"/>
      <w:r>
        <w:rPr>
          <w:color w:val="000000"/>
          <w:spacing w:val="2"/>
          <w:sz w:val="20"/>
          <w:szCs w:val="20"/>
        </w:rPr>
        <w:t xml:space="preserve"> күні өнім </w:t>
      </w:r>
      <w:proofErr w:type="spellStart"/>
      <w:r>
        <w:rPr>
          <w:color w:val="000000"/>
          <w:spacing w:val="2"/>
          <w:sz w:val="20"/>
          <w:szCs w:val="20"/>
        </w:rPr>
        <w:t>беруші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тапсырыс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берушіге</w:t>
      </w:r>
      <w:proofErr w:type="spellEnd"/>
      <w:r>
        <w:rPr>
          <w:color w:val="000000"/>
          <w:spacing w:val="2"/>
          <w:sz w:val="20"/>
          <w:szCs w:val="20"/>
        </w:rPr>
        <w:t xml:space="preserve"> құрайды: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срок годности медицинских изделий на дату поставки поставщиком заказчику составляет: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     </w:t>
      </w:r>
      <w:proofErr w:type="spellStart"/>
      <w:r>
        <w:rPr>
          <w:color w:val="000000"/>
          <w:spacing w:val="2"/>
          <w:sz w:val="20"/>
          <w:szCs w:val="20"/>
        </w:rPr>
        <w:t>кемінде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елу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проценті</w:t>
      </w:r>
      <w:proofErr w:type="spellEnd"/>
      <w:r>
        <w:rPr>
          <w:color w:val="000000"/>
          <w:spacing w:val="2"/>
          <w:sz w:val="20"/>
          <w:szCs w:val="20"/>
        </w:rPr>
        <w:t xml:space="preserve"> көрсетілген жарамдылық </w:t>
      </w:r>
      <w:proofErr w:type="spellStart"/>
      <w:r>
        <w:rPr>
          <w:color w:val="000000"/>
          <w:spacing w:val="2"/>
          <w:sz w:val="20"/>
          <w:szCs w:val="20"/>
        </w:rPr>
        <w:t>мерзі</w:t>
      </w:r>
      <w:proofErr w:type="gramStart"/>
      <w:r>
        <w:rPr>
          <w:color w:val="000000"/>
          <w:spacing w:val="2"/>
          <w:sz w:val="20"/>
          <w:szCs w:val="20"/>
        </w:rPr>
        <w:t>м</w:t>
      </w:r>
      <w:proofErr w:type="gramEnd"/>
      <w:r>
        <w:rPr>
          <w:color w:val="000000"/>
          <w:spacing w:val="2"/>
          <w:sz w:val="20"/>
          <w:szCs w:val="20"/>
        </w:rPr>
        <w:t>і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орамада</w:t>
      </w:r>
      <w:proofErr w:type="spellEnd"/>
      <w:r>
        <w:rPr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color w:val="000000"/>
          <w:spacing w:val="2"/>
          <w:sz w:val="20"/>
          <w:szCs w:val="20"/>
        </w:rPr>
        <w:t>кезінде</w:t>
      </w:r>
      <w:proofErr w:type="spellEnd"/>
      <w:r>
        <w:rPr>
          <w:color w:val="000000"/>
          <w:spacing w:val="2"/>
          <w:sz w:val="20"/>
          <w:szCs w:val="20"/>
        </w:rPr>
        <w:t xml:space="preserve"> жарамдылық </w:t>
      </w:r>
      <w:proofErr w:type="spellStart"/>
      <w:r>
        <w:rPr>
          <w:color w:val="000000"/>
          <w:spacing w:val="2"/>
          <w:sz w:val="20"/>
          <w:szCs w:val="20"/>
        </w:rPr>
        <w:t>мерзімі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екі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жылдан</w:t>
      </w:r>
      <w:proofErr w:type="spellEnd"/>
      <w:r>
        <w:rPr>
          <w:color w:val="000000"/>
          <w:spacing w:val="2"/>
          <w:sz w:val="20"/>
          <w:szCs w:val="20"/>
        </w:rPr>
        <w:t xml:space="preserve"> кем </w:t>
      </w:r>
      <w:proofErr w:type="spellStart"/>
      <w:r>
        <w:rPr>
          <w:color w:val="000000"/>
          <w:spacing w:val="2"/>
          <w:sz w:val="20"/>
          <w:szCs w:val="20"/>
        </w:rPr>
        <w:t>емес</w:t>
      </w:r>
      <w:proofErr w:type="spellEnd"/>
      <w:r>
        <w:rPr>
          <w:color w:val="000000"/>
          <w:spacing w:val="2"/>
          <w:sz w:val="20"/>
          <w:szCs w:val="20"/>
        </w:rPr>
        <w:t>);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     не менее пятидесяти процентов от указанного срока годности на упаковке (при сроке годности менее двух лет);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     кем </w:t>
      </w:r>
      <w:proofErr w:type="spellStart"/>
      <w:r>
        <w:rPr>
          <w:color w:val="000000"/>
          <w:spacing w:val="2"/>
          <w:sz w:val="20"/>
          <w:szCs w:val="20"/>
        </w:rPr>
        <w:t>дегенде</w:t>
      </w:r>
      <w:proofErr w:type="spellEnd"/>
      <w:r>
        <w:rPr>
          <w:color w:val="000000"/>
          <w:spacing w:val="2"/>
          <w:sz w:val="20"/>
          <w:szCs w:val="20"/>
        </w:rPr>
        <w:t xml:space="preserve"> он </w:t>
      </w:r>
      <w:proofErr w:type="spellStart"/>
      <w:proofErr w:type="gramStart"/>
      <w:r>
        <w:rPr>
          <w:color w:val="000000"/>
          <w:spacing w:val="2"/>
          <w:sz w:val="20"/>
          <w:szCs w:val="20"/>
        </w:rPr>
        <w:t>екі</w:t>
      </w:r>
      <w:proofErr w:type="spellEnd"/>
      <w:r>
        <w:rPr>
          <w:color w:val="000000"/>
          <w:spacing w:val="2"/>
          <w:sz w:val="20"/>
          <w:szCs w:val="20"/>
        </w:rPr>
        <w:t xml:space="preserve"> ай</w:t>
      </w:r>
      <w:proofErr w:type="gram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ішінде</w:t>
      </w:r>
      <w:proofErr w:type="spellEnd"/>
      <w:r>
        <w:rPr>
          <w:color w:val="000000"/>
          <w:spacing w:val="2"/>
          <w:sz w:val="20"/>
          <w:szCs w:val="20"/>
        </w:rPr>
        <w:t xml:space="preserve"> көрсетілген жарамдылық </w:t>
      </w:r>
      <w:proofErr w:type="spellStart"/>
      <w:r>
        <w:rPr>
          <w:color w:val="000000"/>
          <w:spacing w:val="2"/>
          <w:sz w:val="20"/>
          <w:szCs w:val="20"/>
        </w:rPr>
        <w:t>мерзімі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орамада</w:t>
      </w:r>
      <w:proofErr w:type="spellEnd"/>
      <w:r>
        <w:rPr>
          <w:color w:val="000000"/>
          <w:spacing w:val="2"/>
          <w:sz w:val="20"/>
          <w:szCs w:val="20"/>
        </w:rPr>
        <w:t xml:space="preserve"> (</w:t>
      </w:r>
      <w:proofErr w:type="spellStart"/>
      <w:r>
        <w:rPr>
          <w:color w:val="000000"/>
          <w:spacing w:val="2"/>
          <w:sz w:val="20"/>
          <w:szCs w:val="20"/>
        </w:rPr>
        <w:t>кезінде</w:t>
      </w:r>
      <w:proofErr w:type="spellEnd"/>
      <w:r>
        <w:rPr>
          <w:color w:val="000000"/>
          <w:spacing w:val="2"/>
          <w:sz w:val="20"/>
          <w:szCs w:val="20"/>
        </w:rPr>
        <w:t xml:space="preserve"> жарамдылық </w:t>
      </w:r>
      <w:proofErr w:type="spellStart"/>
      <w:r>
        <w:rPr>
          <w:color w:val="000000"/>
          <w:spacing w:val="2"/>
          <w:sz w:val="20"/>
          <w:szCs w:val="20"/>
        </w:rPr>
        <w:t>мерзімі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екі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жыл</w:t>
      </w:r>
      <w:proofErr w:type="spellEnd"/>
      <w:r>
        <w:rPr>
          <w:color w:val="000000"/>
          <w:spacing w:val="2"/>
          <w:sz w:val="20"/>
          <w:szCs w:val="20"/>
        </w:rPr>
        <w:t xml:space="preserve"> және </w:t>
      </w:r>
      <w:proofErr w:type="spellStart"/>
      <w:r>
        <w:rPr>
          <w:color w:val="000000"/>
          <w:spacing w:val="2"/>
          <w:sz w:val="20"/>
          <w:szCs w:val="20"/>
        </w:rPr>
        <w:t>одан</w:t>
      </w:r>
      <w:proofErr w:type="spellEnd"/>
      <w:r>
        <w:rPr>
          <w:color w:val="000000"/>
          <w:spacing w:val="2"/>
          <w:sz w:val="20"/>
          <w:szCs w:val="20"/>
        </w:rPr>
        <w:t xml:space="preserve">  да көп);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    не менее двенадцати месяцев от указанного срока годности на упаковке (при сроке годности два года и более);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>      5)</w:t>
      </w:r>
      <w:r>
        <w:rPr>
          <w:sz w:val="20"/>
          <w:szCs w:val="20"/>
        </w:rPr>
        <w:t xml:space="preserve"> </w:t>
      </w:r>
      <w:r>
        <w:rPr>
          <w:color w:val="000000"/>
          <w:spacing w:val="2"/>
          <w:sz w:val="20"/>
          <w:szCs w:val="20"/>
        </w:rPr>
        <w:t xml:space="preserve">медициналық бұйымдар өз </w:t>
      </w:r>
      <w:proofErr w:type="spellStart"/>
      <w:r>
        <w:rPr>
          <w:color w:val="000000"/>
          <w:spacing w:val="2"/>
          <w:sz w:val="20"/>
          <w:szCs w:val="20"/>
        </w:rPr>
        <w:t>сипаттамасында</w:t>
      </w:r>
      <w:proofErr w:type="spellEnd"/>
      <w:r>
        <w:rPr>
          <w:color w:val="000000"/>
          <w:spacing w:val="2"/>
          <w:sz w:val="20"/>
          <w:szCs w:val="20"/>
        </w:rPr>
        <w:t xml:space="preserve"> (жинақтау) сәйкес </w:t>
      </w:r>
      <w:proofErr w:type="spellStart"/>
      <w:r>
        <w:rPr>
          <w:color w:val="000000"/>
          <w:spacing w:val="2"/>
          <w:sz w:val="20"/>
          <w:szCs w:val="20"/>
        </w:rPr>
        <w:t>болуы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proofErr w:type="gramStart"/>
      <w:r>
        <w:rPr>
          <w:color w:val="000000"/>
          <w:spacing w:val="2"/>
          <w:sz w:val="20"/>
          <w:szCs w:val="20"/>
        </w:rPr>
        <w:t>тиіс</w:t>
      </w:r>
      <w:proofErr w:type="spellEnd"/>
      <w:proofErr w:type="gram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сипаттамасы</w:t>
      </w:r>
      <w:proofErr w:type="spellEnd"/>
      <w:r>
        <w:rPr>
          <w:color w:val="000000"/>
          <w:spacing w:val="2"/>
          <w:sz w:val="20"/>
          <w:szCs w:val="20"/>
        </w:rPr>
        <w:t xml:space="preserve"> (жинақтау), қайта жабдықтауға) шақыруда </w:t>
      </w:r>
      <w:proofErr w:type="spellStart"/>
      <w:r>
        <w:rPr>
          <w:color w:val="000000"/>
          <w:spacing w:val="2"/>
          <w:sz w:val="20"/>
          <w:szCs w:val="20"/>
        </w:rPr>
        <w:t>немесе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сатып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алу</w:t>
      </w:r>
      <w:proofErr w:type="spellEnd"/>
      <w:r>
        <w:rPr>
          <w:color w:val="000000"/>
          <w:spacing w:val="2"/>
          <w:sz w:val="20"/>
          <w:szCs w:val="20"/>
        </w:rPr>
        <w:t>;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       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</w:t>
      </w:r>
      <w:proofErr w:type="gramStart"/>
      <w:r>
        <w:rPr>
          <w:color w:val="000000"/>
          <w:spacing w:val="2"/>
          <w:sz w:val="20"/>
          <w:szCs w:val="20"/>
        </w:rPr>
        <w:t>на</w:t>
      </w:r>
      <w:proofErr w:type="gramEnd"/>
      <w:r>
        <w:rPr>
          <w:color w:val="000000"/>
          <w:spacing w:val="2"/>
          <w:sz w:val="20"/>
          <w:szCs w:val="20"/>
        </w:rPr>
        <w:t xml:space="preserve"> закуп;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      6) медициналық бұйымдар </w:t>
      </w:r>
      <w:proofErr w:type="spellStart"/>
      <w:r>
        <w:rPr>
          <w:color w:val="000000"/>
          <w:spacing w:val="2"/>
          <w:sz w:val="20"/>
          <w:szCs w:val="20"/>
        </w:rPr>
        <w:t>бойынша</w:t>
      </w:r>
      <w:proofErr w:type="spellEnd"/>
      <w:r>
        <w:rPr>
          <w:color w:val="000000"/>
          <w:spacing w:val="2"/>
          <w:sz w:val="20"/>
          <w:szCs w:val="20"/>
        </w:rPr>
        <w:t xml:space="preserve"> әлеуетті өнім берушінің баға ұсынысына </w:t>
      </w:r>
      <w:proofErr w:type="spellStart"/>
      <w:r>
        <w:rPr>
          <w:color w:val="000000"/>
          <w:spacing w:val="2"/>
          <w:sz w:val="20"/>
          <w:szCs w:val="20"/>
        </w:rPr>
        <w:t>аспауы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proofErr w:type="gramStart"/>
      <w:r>
        <w:rPr>
          <w:color w:val="000000"/>
          <w:spacing w:val="2"/>
          <w:sz w:val="20"/>
          <w:szCs w:val="20"/>
        </w:rPr>
        <w:t>тиіс</w:t>
      </w:r>
      <w:proofErr w:type="spellEnd"/>
      <w:proofErr w:type="gram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шекті</w:t>
      </w:r>
      <w:proofErr w:type="spellEnd"/>
      <w:r>
        <w:rPr>
          <w:color w:val="000000"/>
          <w:spacing w:val="2"/>
          <w:sz w:val="20"/>
          <w:szCs w:val="20"/>
        </w:rPr>
        <w:t xml:space="preserve"> бағалар </w:t>
      </w:r>
      <w:proofErr w:type="spellStart"/>
      <w:r>
        <w:rPr>
          <w:color w:val="000000"/>
          <w:spacing w:val="2"/>
          <w:sz w:val="20"/>
          <w:szCs w:val="20"/>
        </w:rPr>
        <w:t>бойынша</w:t>
      </w:r>
      <w:proofErr w:type="spellEnd"/>
      <w:r>
        <w:rPr>
          <w:color w:val="000000"/>
          <w:spacing w:val="2"/>
          <w:sz w:val="20"/>
          <w:szCs w:val="20"/>
        </w:rPr>
        <w:t xml:space="preserve"> халықаралық непатентованному </w:t>
      </w:r>
      <w:proofErr w:type="spellStart"/>
      <w:r>
        <w:rPr>
          <w:color w:val="000000"/>
          <w:spacing w:val="2"/>
          <w:sz w:val="20"/>
          <w:szCs w:val="20"/>
        </w:rPr>
        <w:t>атауы</w:t>
      </w:r>
      <w:proofErr w:type="spellEnd"/>
      <w:r>
        <w:rPr>
          <w:color w:val="000000"/>
          <w:spacing w:val="2"/>
          <w:sz w:val="20"/>
          <w:szCs w:val="20"/>
        </w:rPr>
        <w:t xml:space="preserve"> және (</w:t>
      </w:r>
      <w:proofErr w:type="spellStart"/>
      <w:r>
        <w:rPr>
          <w:color w:val="000000"/>
          <w:spacing w:val="2"/>
          <w:sz w:val="20"/>
          <w:szCs w:val="20"/>
        </w:rPr>
        <w:t>немесе</w:t>
      </w:r>
      <w:proofErr w:type="spellEnd"/>
      <w:r>
        <w:rPr>
          <w:color w:val="000000"/>
          <w:spacing w:val="2"/>
          <w:sz w:val="20"/>
          <w:szCs w:val="20"/>
        </w:rPr>
        <w:t xml:space="preserve">) саудалық </w:t>
      </w:r>
      <w:proofErr w:type="spellStart"/>
      <w:r>
        <w:rPr>
          <w:color w:val="000000"/>
          <w:spacing w:val="2"/>
          <w:sz w:val="20"/>
          <w:szCs w:val="20"/>
        </w:rPr>
        <w:t>атауы</w:t>
      </w:r>
      <w:proofErr w:type="spellEnd"/>
      <w:r>
        <w:rPr>
          <w:color w:val="000000"/>
          <w:spacing w:val="2"/>
          <w:sz w:val="20"/>
          <w:szCs w:val="20"/>
        </w:rPr>
        <w:t xml:space="preserve"> </w:t>
      </w:r>
      <w:proofErr w:type="spellStart"/>
      <w:r>
        <w:rPr>
          <w:color w:val="000000"/>
          <w:spacing w:val="2"/>
          <w:sz w:val="20"/>
          <w:szCs w:val="20"/>
        </w:rPr>
        <w:t>бекітілген</w:t>
      </w:r>
      <w:proofErr w:type="spellEnd"/>
      <w:r>
        <w:rPr>
          <w:color w:val="000000"/>
          <w:spacing w:val="2"/>
          <w:sz w:val="20"/>
          <w:szCs w:val="20"/>
        </w:rPr>
        <w:t xml:space="preserve"> тәртіпте, уәкілетті орган айқындаған денсаулық сақтау саласындағы </w:t>
      </w:r>
      <w:proofErr w:type="spellStart"/>
      <w:r>
        <w:rPr>
          <w:color w:val="000000"/>
          <w:spacing w:val="2"/>
          <w:sz w:val="20"/>
          <w:szCs w:val="20"/>
        </w:rPr>
        <w:t>реттеу</w:t>
      </w:r>
      <w:proofErr w:type="spellEnd"/>
      <w:r>
        <w:rPr>
          <w:color w:val="000000"/>
          <w:spacing w:val="2"/>
          <w:sz w:val="20"/>
          <w:szCs w:val="20"/>
        </w:rPr>
        <w:t xml:space="preserve"> қағидаларына сәйкес бағалардың медициналық бұйымдар шеңберінде </w:t>
      </w:r>
      <w:proofErr w:type="spellStart"/>
      <w:r>
        <w:rPr>
          <w:color w:val="000000"/>
          <w:spacing w:val="2"/>
          <w:sz w:val="20"/>
          <w:szCs w:val="20"/>
        </w:rPr>
        <w:t>тегін</w:t>
      </w:r>
      <w:proofErr w:type="spellEnd"/>
      <w:r>
        <w:rPr>
          <w:color w:val="000000"/>
          <w:spacing w:val="2"/>
          <w:sz w:val="20"/>
          <w:szCs w:val="20"/>
        </w:rPr>
        <w:t xml:space="preserve"> медициналық көмектің </w:t>
      </w:r>
      <w:proofErr w:type="spellStart"/>
      <w:r>
        <w:rPr>
          <w:color w:val="000000"/>
          <w:spacing w:val="2"/>
          <w:sz w:val="20"/>
          <w:szCs w:val="20"/>
        </w:rPr>
        <w:t>кепілді</w:t>
      </w:r>
      <w:proofErr w:type="spellEnd"/>
      <w:r>
        <w:rPr>
          <w:color w:val="000000"/>
          <w:spacing w:val="2"/>
          <w:sz w:val="20"/>
          <w:szCs w:val="20"/>
        </w:rPr>
        <w:t xml:space="preserve"> көлемін және </w:t>
      </w:r>
      <w:proofErr w:type="spellStart"/>
      <w:proofErr w:type="gramStart"/>
      <w:r>
        <w:rPr>
          <w:color w:val="000000"/>
          <w:spacing w:val="2"/>
          <w:sz w:val="20"/>
          <w:szCs w:val="20"/>
        </w:rPr>
        <w:t>м</w:t>
      </w:r>
      <w:proofErr w:type="gramEnd"/>
      <w:r>
        <w:rPr>
          <w:color w:val="000000"/>
          <w:spacing w:val="2"/>
          <w:sz w:val="20"/>
          <w:szCs w:val="20"/>
        </w:rPr>
        <w:t>індетті</w:t>
      </w:r>
      <w:proofErr w:type="spellEnd"/>
      <w:r>
        <w:rPr>
          <w:color w:val="000000"/>
          <w:spacing w:val="2"/>
          <w:sz w:val="20"/>
          <w:szCs w:val="20"/>
        </w:rPr>
        <w:t xml:space="preserve"> әлеуметтік медициналық сақтандыру.</w:t>
      </w:r>
    </w:p>
    <w:p w:rsidR="00231467" w:rsidRDefault="00231467" w:rsidP="00231467">
      <w:pPr>
        <w:pStyle w:val="a4"/>
        <w:shd w:val="clear" w:color="auto" w:fill="FFFFFF"/>
        <w:spacing w:before="0" w:beforeAutospacing="0" w:after="0" w:afterAutospacing="0" w:line="285" w:lineRule="atLeast"/>
        <w:textAlignment w:val="baseline"/>
        <w:rPr>
          <w:color w:val="000000"/>
          <w:spacing w:val="2"/>
          <w:sz w:val="20"/>
          <w:szCs w:val="20"/>
        </w:rPr>
      </w:pPr>
      <w:r>
        <w:rPr>
          <w:color w:val="000000"/>
          <w:spacing w:val="2"/>
          <w:sz w:val="20"/>
          <w:szCs w:val="20"/>
        </w:rPr>
        <w:t xml:space="preserve">         </w:t>
      </w:r>
      <w:proofErr w:type="gramStart"/>
      <w:r>
        <w:rPr>
          <w:color w:val="000000"/>
          <w:spacing w:val="2"/>
          <w:sz w:val="20"/>
          <w:szCs w:val="20"/>
        </w:rPr>
        <w:t>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  <w:proofErr w:type="gramEnd"/>
    </w:p>
    <w:p w:rsidR="00231467" w:rsidRDefault="00231467" w:rsidP="0023146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31467" w:rsidRDefault="00231467" w:rsidP="002314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31467" w:rsidRDefault="00231467" w:rsidP="00231467">
      <w:pPr>
        <w:spacing w:after="0" w:line="240" w:lineRule="auto"/>
        <w:ind w:left="708" w:firstLine="708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            </w:t>
      </w:r>
    </w:p>
    <w:p w:rsidR="00231467" w:rsidRDefault="00231467" w:rsidP="00231467">
      <w:pPr>
        <w:shd w:val="clear" w:color="auto" w:fill="FFFFFF"/>
        <w:spacing w:after="0" w:line="360" w:lineRule="atLeast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val="kk-KZ" w:eastAsia="ru-RU"/>
        </w:rPr>
      </w:pPr>
    </w:p>
    <w:p w:rsidR="00231467" w:rsidRDefault="00231467" w:rsidP="00231467">
      <w:pPr>
        <w:spacing w:after="0" w:line="240" w:lineRule="auto"/>
        <w:ind w:left="708" w:firstLine="708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                         </w:t>
      </w:r>
      <w:r>
        <w:rPr>
          <w:rFonts w:ascii="Times New Roman" w:hAnsi="Times New Roman"/>
          <w:b/>
          <w:color w:val="333333"/>
          <w:sz w:val="28"/>
          <w:szCs w:val="28"/>
          <w:shd w:val="clear" w:color="auto" w:fill="FFFFFF"/>
          <w:lang w:val="kk-KZ"/>
        </w:rPr>
        <w:t>бас дәрігер</w:t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</w:r>
      <w:r>
        <w:rPr>
          <w:rFonts w:ascii="Times New Roman" w:hAnsi="Times New Roman"/>
          <w:b/>
          <w:sz w:val="28"/>
          <w:szCs w:val="28"/>
          <w:lang w:val="kk-KZ"/>
        </w:rPr>
        <w:tab/>
        <w:t xml:space="preserve">                          Ж. Маутова</w:t>
      </w:r>
    </w:p>
    <w:p w:rsidR="00231467" w:rsidRDefault="00231467" w:rsidP="00231467"/>
    <w:p w:rsidR="00F76508" w:rsidRDefault="00F76508"/>
    <w:sectPr w:rsidR="00F76508" w:rsidSect="002314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04A8A"/>
    <w:multiLevelType w:val="hybridMultilevel"/>
    <w:tmpl w:val="57502F1E"/>
    <w:lvl w:ilvl="0" w:tplc="BAA02038">
      <w:start w:val="1"/>
      <w:numFmt w:val="decimal"/>
      <w:lvlText w:val="%1."/>
      <w:lvlJc w:val="left"/>
      <w:pPr>
        <w:ind w:left="480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BF7C92"/>
    <w:multiLevelType w:val="hybridMultilevel"/>
    <w:tmpl w:val="6D9C84A4"/>
    <w:lvl w:ilvl="0" w:tplc="10480EA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31467"/>
    <w:rsid w:val="00231467"/>
    <w:rsid w:val="00794324"/>
    <w:rsid w:val="00912F85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467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146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31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0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K090000193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2180</Words>
  <Characters>12426</Characters>
  <Application>Microsoft Office Word</Application>
  <DocSecurity>0</DocSecurity>
  <Lines>103</Lines>
  <Paragraphs>29</Paragraphs>
  <ScaleCrop>false</ScaleCrop>
  <Company>Microsoft</Company>
  <LinksUpToDate>false</LinksUpToDate>
  <CharactersWithSpaces>14577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</cp:revision>
  <dcterms:created xsi:type="dcterms:W3CDTF">2020-11-30T10:55:00Z</dcterms:created>
  <dcterms:modified xsi:type="dcterms:W3CDTF">2020-11-30T10:55:00Z</dcterms:modified>
</cp:coreProperties>
</file>