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B15DD7" w:rsidP="00B15DD7">
      <w:pPr>
        <w:pStyle w:val="1"/>
        <w:rPr>
          <w:szCs w:val="24"/>
        </w:rPr>
      </w:pPr>
      <w:r>
        <w:rPr>
          <w:szCs w:val="24"/>
        </w:rPr>
        <w:t xml:space="preserve">                                                                                                </w:t>
      </w:r>
      <w:r w:rsidRPr="00A839FD">
        <w:rPr>
          <w:szCs w:val="24"/>
        </w:rPr>
        <w:t>Утверждаю</w:t>
      </w:r>
    </w:p>
    <w:p w:rsidR="00B15DD7" w:rsidRPr="00A839FD" w:rsidRDefault="0046141B" w:rsidP="00B15DD7">
      <w:pPr>
        <w:pStyle w:val="1"/>
        <w:ind w:left="5760"/>
        <w:rPr>
          <w:szCs w:val="24"/>
        </w:rPr>
      </w:pPr>
      <w:r>
        <w:rPr>
          <w:szCs w:val="24"/>
        </w:rPr>
        <w:t xml:space="preserve"> Главный </w:t>
      </w:r>
      <w:r w:rsidR="00B15DD7" w:rsidRPr="00A839FD">
        <w:rPr>
          <w:szCs w:val="24"/>
        </w:rPr>
        <w:t xml:space="preserve"> врач</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Pr>
          <w:b/>
          <w:szCs w:val="24"/>
        </w:rPr>
        <w:t>Маутова Ж.К.</w:t>
      </w:r>
    </w:p>
    <w:p w:rsidR="00B15DD7" w:rsidRDefault="00B15DD7" w:rsidP="00B15DD7">
      <w:pPr>
        <w:pStyle w:val="1"/>
        <w:rPr>
          <w:szCs w:val="24"/>
        </w:rPr>
      </w:pPr>
      <w:r>
        <w:rPr>
          <w:szCs w:val="24"/>
        </w:rPr>
        <w:t xml:space="preserve">                                                                                                </w:t>
      </w:r>
    </w:p>
    <w:p w:rsidR="00B15DD7" w:rsidRPr="00BD55FA" w:rsidRDefault="00B15DD7" w:rsidP="00B15DD7">
      <w:pPr>
        <w:pStyle w:val="1"/>
        <w:rPr>
          <w:szCs w:val="24"/>
        </w:rPr>
      </w:pPr>
      <w:r>
        <w:rPr>
          <w:szCs w:val="24"/>
        </w:rPr>
        <w:t xml:space="preserve">                                                                                                </w:t>
      </w:r>
      <w:r w:rsidRPr="00BD55FA">
        <w:rPr>
          <w:szCs w:val="24"/>
        </w:rPr>
        <w:t xml:space="preserve">Приказ № </w:t>
      </w:r>
      <w:r w:rsidR="00004F6C">
        <w:rPr>
          <w:szCs w:val="24"/>
        </w:rPr>
        <w:t>262-О от 23.02</w:t>
      </w:r>
      <w:r w:rsidR="00BD55FA" w:rsidRPr="00BD55FA">
        <w:rPr>
          <w:szCs w:val="24"/>
        </w:rPr>
        <w:t>.2021</w:t>
      </w:r>
      <w:r w:rsidR="001E5561" w:rsidRPr="00BD55F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r w:rsidRPr="00441795">
        <w:rPr>
          <w:b/>
          <w:sz w:val="24"/>
          <w:szCs w:val="24"/>
        </w:rPr>
        <w:t>, требующ</w:t>
      </w:r>
      <w:r>
        <w:rPr>
          <w:b/>
          <w:sz w:val="24"/>
          <w:szCs w:val="24"/>
        </w:rPr>
        <w:t>их</w:t>
      </w:r>
      <w:r w:rsidRPr="00441795">
        <w:rPr>
          <w:b/>
          <w:sz w:val="24"/>
          <w:szCs w:val="24"/>
        </w:rPr>
        <w:t xml:space="preserve"> сервисно</w:t>
      </w:r>
      <w:r>
        <w:rPr>
          <w:b/>
          <w:sz w:val="24"/>
          <w:szCs w:val="24"/>
        </w:rPr>
        <w:t>го</w:t>
      </w:r>
      <w:r w:rsidRPr="00441795">
        <w:rPr>
          <w:b/>
          <w:sz w:val="24"/>
          <w:szCs w:val="24"/>
        </w:rPr>
        <w:t xml:space="preserve"> обслуживани</w:t>
      </w:r>
      <w:r>
        <w:rPr>
          <w:b/>
          <w:sz w:val="24"/>
          <w:szCs w:val="24"/>
        </w:rPr>
        <w:t>я</w:t>
      </w:r>
    </w:p>
    <w:p w:rsidR="00B15DD7" w:rsidRDefault="00B15DD7" w:rsidP="00B15DD7">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 требующих сервисного обслуживания</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B15DD7" w:rsidRPr="008D78E4" w:rsidRDefault="00B15DD7" w:rsidP="00B15DD7">
      <w:pPr>
        <w:ind w:right="-365"/>
        <w:rPr>
          <w:sz w:val="24"/>
          <w:szCs w:val="24"/>
        </w:rPr>
      </w:pPr>
      <w:r w:rsidRPr="008D78E4">
        <w:rPr>
          <w:sz w:val="24"/>
          <w:szCs w:val="24"/>
        </w:rPr>
        <w:t>150000, СКО, г. Петропавловск, ул. Имени Тауфика Мухамед-Рахимова, 27                                                                              БИН 990240005745</w:t>
      </w:r>
    </w:p>
    <w:p w:rsidR="00B15DD7" w:rsidRPr="008D78E4" w:rsidRDefault="005D6960" w:rsidP="00B15DD7">
      <w:pPr>
        <w:rPr>
          <w:sz w:val="22"/>
          <w:szCs w:val="22"/>
        </w:rPr>
      </w:pPr>
      <w:hyperlink r:id="rId6" w:history="1">
        <w:r w:rsidR="00B15DD7" w:rsidRPr="008D78E4">
          <w:rPr>
            <w:rStyle w:val="a9"/>
            <w:sz w:val="22"/>
            <w:szCs w:val="22"/>
          </w:rPr>
          <w:t>АО "Банк  Центр Кредит"</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Default="00B15DD7" w:rsidP="00B15DD7">
      <w:pPr>
        <w:ind w:firstLine="709"/>
        <w:jc w:val="both"/>
        <w:rPr>
          <w:sz w:val="24"/>
          <w:szCs w:val="24"/>
        </w:rPr>
      </w:pP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Default="00B15DD7" w:rsidP="00B15DD7">
      <w:pPr>
        <w:ind w:firstLine="709"/>
        <w:jc w:val="center"/>
        <w:rPr>
          <w:sz w:val="24"/>
          <w:szCs w:val="24"/>
        </w:rPr>
      </w:pPr>
    </w:p>
    <w:p w:rsidR="00B15DD7" w:rsidRPr="001376FD" w:rsidRDefault="00B15DD7" w:rsidP="00B15DD7">
      <w:pPr>
        <w:ind w:firstLine="709"/>
        <w:jc w:val="cente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требующих сервисное обслуживание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B15DD7" w:rsidRPr="002C6F60" w:rsidRDefault="00B15DD7" w:rsidP="00B15DD7">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B15DD7" w:rsidRPr="007D75B9" w:rsidRDefault="00B15DD7" w:rsidP="00B15DD7">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B15DD7" w:rsidRPr="00A74C24" w:rsidRDefault="00B15DD7" w:rsidP="00B15DD7">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B15DD7" w:rsidRPr="007C2DB7" w:rsidRDefault="00B15DD7" w:rsidP="00B15DD7">
      <w:pPr>
        <w:ind w:firstLine="709"/>
        <w:jc w:val="both"/>
        <w:rPr>
          <w:b/>
          <w:sz w:val="24"/>
          <w:szCs w:val="24"/>
        </w:rPr>
      </w:pPr>
    </w:p>
    <w:p w:rsidR="00B15DD7" w:rsidRDefault="00B15DD7" w:rsidP="00B15DD7">
      <w:pPr>
        <w:ind w:firstLine="709"/>
        <w:jc w:val="center"/>
        <w:rPr>
          <w:b/>
          <w:sz w:val="24"/>
          <w:szCs w:val="24"/>
        </w:rPr>
      </w:pPr>
    </w:p>
    <w:p w:rsidR="00B15DD7" w:rsidRDefault="00B15DD7" w:rsidP="00B15DD7">
      <w:pPr>
        <w:ind w:firstLine="709"/>
        <w:jc w:val="center"/>
        <w:rPr>
          <w:b/>
          <w:sz w:val="24"/>
          <w:szCs w:val="24"/>
        </w:rPr>
      </w:pPr>
      <w:r w:rsidRPr="002C6F60">
        <w:rPr>
          <w:b/>
          <w:sz w:val="24"/>
          <w:szCs w:val="24"/>
        </w:rPr>
        <w:t>3. Правомочность и квалификация потенциальных поставщиков</w:t>
      </w:r>
    </w:p>
    <w:p w:rsidR="00B15DD7" w:rsidRPr="002C6F60" w:rsidRDefault="00B15DD7" w:rsidP="00B15DD7">
      <w:pPr>
        <w:ind w:firstLine="709"/>
        <w:jc w:val="center"/>
        <w:rPr>
          <w:b/>
          <w:sz w:val="24"/>
          <w:szCs w:val="24"/>
        </w:rPr>
      </w:pPr>
    </w:p>
    <w:p w:rsidR="00B15DD7" w:rsidRPr="002C6F60" w:rsidRDefault="00B15DD7" w:rsidP="00B15DD7">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 требующих сервисного обслуживания</w:t>
      </w:r>
      <w:r>
        <w:rPr>
          <w:szCs w:val="24"/>
        </w:rPr>
        <w:t>,</w:t>
      </w:r>
      <w:r w:rsidRPr="002C6F60">
        <w:rPr>
          <w:szCs w:val="24"/>
        </w:rPr>
        <w:t xml:space="preserve"> гарантирующих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B15DD7" w:rsidRDefault="00B15DD7" w:rsidP="00B15DD7">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B15DD7" w:rsidRPr="00C069DB" w:rsidRDefault="00B15DD7" w:rsidP="00B15DD7">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15DD7" w:rsidRPr="006B6FAB" w:rsidRDefault="00B15DD7" w:rsidP="00B15DD7">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B15DD7" w:rsidRPr="003B7216" w:rsidRDefault="00B15DD7" w:rsidP="00B15DD7">
      <w:pPr>
        <w:ind w:firstLine="709"/>
        <w:jc w:val="both"/>
        <w:rPr>
          <w:sz w:val="24"/>
          <w:szCs w:val="24"/>
        </w:rPr>
      </w:pPr>
    </w:p>
    <w:p w:rsidR="00B15DD7" w:rsidRPr="002C6F60" w:rsidRDefault="00B15DD7" w:rsidP="00B15DD7">
      <w:pPr>
        <w:pStyle w:val="Iauiue"/>
        <w:widowControl/>
        <w:jc w:val="both"/>
        <w:rPr>
          <w:b/>
          <w:sz w:val="24"/>
          <w:szCs w:val="24"/>
        </w:rPr>
      </w:pPr>
    </w:p>
    <w:p w:rsidR="00B15DD7" w:rsidRPr="001376FD" w:rsidRDefault="00B15DD7" w:rsidP="00B15DD7">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B15DD7" w:rsidRDefault="00B15DD7" w:rsidP="00B15DD7">
      <w:pPr>
        <w:pStyle w:val="a7"/>
        <w:spacing w:before="0" w:beforeAutospacing="0" w:after="0" w:afterAutospacing="0"/>
        <w:jc w:val="both"/>
      </w:pPr>
    </w:p>
    <w:p w:rsidR="00B15DD7" w:rsidRDefault="00B15DD7" w:rsidP="00B15DD7">
      <w:pPr>
        <w:pStyle w:val="a7"/>
        <w:spacing w:before="0" w:beforeAutospacing="0" w:after="0" w:afterAutospacing="0"/>
        <w:ind w:firstLine="709"/>
        <w:jc w:val="both"/>
      </w:pPr>
    </w:p>
    <w:p w:rsidR="00B15DD7" w:rsidRPr="002C6F60" w:rsidRDefault="00B15DD7" w:rsidP="00B15DD7">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B15DD7" w:rsidRPr="003B22CC" w:rsidRDefault="00B15DD7" w:rsidP="00B15DD7">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B15DD7" w:rsidRPr="008570D4" w:rsidRDefault="00B15DD7" w:rsidP="00B15DD7">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B15DD7" w:rsidRDefault="00B15DD7" w:rsidP="00B15DD7">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B15DD7" w:rsidRDefault="00B15DD7" w:rsidP="00B15DD7">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B15DD7" w:rsidRDefault="00B15DD7" w:rsidP="00B15DD7">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B15DD7" w:rsidRPr="009E7B01" w:rsidRDefault="00B15DD7" w:rsidP="00B15DD7">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B15DD7" w:rsidRPr="00DE5219" w:rsidRDefault="00B15DD7" w:rsidP="00B15DD7">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B15DD7" w:rsidRPr="00DE5219" w:rsidRDefault="00B15DD7" w:rsidP="00B15DD7">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B15DD7" w:rsidRDefault="00B15DD7" w:rsidP="00B15DD7">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B15DD7" w:rsidRDefault="00B15DD7" w:rsidP="00B15DD7">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B15DD7" w:rsidRDefault="00B15DD7" w:rsidP="00B15DD7">
      <w:pPr>
        <w:pStyle w:val="a7"/>
        <w:spacing w:before="0" w:beforeAutospacing="0" w:after="0" w:afterAutospacing="0"/>
        <w:ind w:firstLine="540"/>
        <w:jc w:val="both"/>
      </w:pPr>
      <w:r>
        <w:lastRenderedPageBreak/>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B15DD7" w:rsidRDefault="00B15DD7" w:rsidP="00B15DD7">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B15DD7">
      <w:pPr>
        <w:pStyle w:val="a7"/>
        <w:spacing w:before="0" w:beforeAutospacing="0" w:after="0" w:afterAutospacing="0"/>
        <w:ind w:firstLine="540"/>
        <w:jc w:val="both"/>
        <w:rPr>
          <w:b/>
        </w:rPr>
      </w:pPr>
    </w:p>
    <w:p w:rsidR="00B15DD7" w:rsidRDefault="00B15DD7" w:rsidP="00B15DD7">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B15DD7" w:rsidRPr="00CD2505" w:rsidRDefault="00B15DD7" w:rsidP="00B15DD7">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B15DD7" w:rsidRPr="00ED49D9" w:rsidRDefault="00B15DD7" w:rsidP="00B15DD7">
      <w:pPr>
        <w:pStyle w:val="a7"/>
        <w:spacing w:before="0" w:beforeAutospacing="0" w:after="0" w:afterAutospacing="0"/>
        <w:ind w:firstLine="539"/>
        <w:jc w:val="both"/>
        <w:rPr>
          <w:i/>
        </w:rPr>
      </w:pPr>
    </w:p>
    <w:p w:rsidR="00B15DD7" w:rsidRPr="001D648B" w:rsidRDefault="00B15DD7" w:rsidP="00B15DD7">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B15DD7" w:rsidRPr="002C6F60" w:rsidRDefault="00B15DD7" w:rsidP="00B15DD7">
      <w:pPr>
        <w:pStyle w:val="a3"/>
        <w:tabs>
          <w:tab w:val="clear" w:pos="0"/>
        </w:tabs>
        <w:ind w:firstLine="709"/>
        <w:rPr>
          <w:b/>
          <w:sz w:val="24"/>
          <w:szCs w:val="24"/>
        </w:rPr>
      </w:pP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B15DD7" w:rsidRDefault="00B15DD7" w:rsidP="00B15DD7">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B15DD7" w:rsidRPr="0045647F" w:rsidRDefault="00B15DD7" w:rsidP="00B15DD7">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B15DD7" w:rsidRPr="00A61D71" w:rsidRDefault="00B15DD7" w:rsidP="00B15DD7">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B15DD7" w:rsidRPr="00A61D71" w:rsidRDefault="00B15DD7" w:rsidP="00B15DD7">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B15DD7" w:rsidRPr="00A61D71" w:rsidRDefault="00B15DD7" w:rsidP="00B15DD7">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B15DD7" w:rsidRPr="00A61D71" w:rsidRDefault="00B15DD7" w:rsidP="00B15DD7">
      <w:pPr>
        <w:jc w:val="both"/>
        <w:rPr>
          <w:sz w:val="24"/>
          <w:szCs w:val="24"/>
        </w:rPr>
      </w:pPr>
      <w:bookmarkStart w:id="1" w:name="z287"/>
      <w:bookmarkEnd w:id="0"/>
      <w:r w:rsidRPr="00A61D71">
        <w:rPr>
          <w:color w:val="000000"/>
          <w:sz w:val="24"/>
          <w:szCs w:val="24"/>
        </w:rPr>
        <w:lastRenderedPageBreak/>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15DD7" w:rsidRPr="00A61D71" w:rsidRDefault="00B15DD7" w:rsidP="00B15DD7">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B15DD7" w:rsidRPr="00A61D71" w:rsidRDefault="00B15DD7" w:rsidP="00B15DD7">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15DD7" w:rsidRPr="00A61D71" w:rsidRDefault="00B15DD7" w:rsidP="00B15DD7">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B15DD7" w:rsidRPr="00A61D71" w:rsidRDefault="00B15DD7" w:rsidP="00B15DD7">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B15DD7" w:rsidRPr="00A61D71" w:rsidRDefault="00B15DD7" w:rsidP="00B15DD7">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B15DD7" w:rsidRPr="00A61D71" w:rsidRDefault="00B15DD7" w:rsidP="00B15DD7">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B15DD7" w:rsidRPr="00A61D71" w:rsidRDefault="00B15DD7" w:rsidP="00B15DD7">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B15DD7" w:rsidRPr="00A61D71" w:rsidRDefault="00B15DD7" w:rsidP="00B15DD7">
      <w:pPr>
        <w:jc w:val="both"/>
        <w:rPr>
          <w:sz w:val="24"/>
          <w:szCs w:val="24"/>
        </w:rPr>
      </w:pPr>
      <w:bookmarkStart w:id="11" w:name="z298"/>
      <w:bookmarkEnd w:id="10"/>
      <w:r w:rsidRPr="00A61D71">
        <w:rPr>
          <w:color w:val="000000"/>
          <w:sz w:val="24"/>
          <w:szCs w:val="24"/>
        </w:rPr>
        <w:t>      12) сопутствующие услуги;</w:t>
      </w:r>
    </w:p>
    <w:p w:rsidR="00B15DD7" w:rsidRPr="00A61D71" w:rsidRDefault="00B15DD7" w:rsidP="00B15DD7">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B15DD7" w:rsidRPr="00A61D71" w:rsidRDefault="00B15DD7" w:rsidP="00B15DD7">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w:t>
      </w:r>
      <w:r w:rsidRPr="00A61D71">
        <w:rPr>
          <w:color w:val="000000"/>
          <w:sz w:val="24"/>
          <w:szCs w:val="24"/>
        </w:rPr>
        <w:lastRenderedPageBreak/>
        <w:t>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B15DD7" w:rsidRPr="00A61D71" w:rsidRDefault="00B15DD7" w:rsidP="00B15DD7">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B15DD7" w:rsidRPr="00A61D71" w:rsidRDefault="00B15DD7" w:rsidP="00B15DD7">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B15DD7" w:rsidRPr="00A61D71" w:rsidRDefault="00B15DD7" w:rsidP="00B15DD7">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B15DD7" w:rsidRPr="00A61D71" w:rsidRDefault="00B15DD7" w:rsidP="00B15DD7">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B15DD7" w:rsidRPr="00B25DB0" w:rsidRDefault="00B15DD7" w:rsidP="00B15DD7">
      <w:pPr>
        <w:pStyle w:val="a7"/>
        <w:spacing w:before="0" w:beforeAutospacing="0" w:after="0" w:afterAutospacing="0"/>
        <w:ind w:firstLine="709"/>
        <w:jc w:val="both"/>
      </w:pPr>
      <w:r w:rsidRPr="00B25DB0">
        <w:rPr>
          <w:color w:val="000000"/>
        </w:rPr>
        <w:t>18.Техническая часть тендерной заявки содержит:</w:t>
      </w:r>
    </w:p>
    <w:p w:rsidR="00B15DD7" w:rsidRPr="00B25DB0" w:rsidRDefault="00B15DD7" w:rsidP="00B15DD7">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B15DD7" w:rsidRPr="00A61D71" w:rsidRDefault="00B15DD7" w:rsidP="00B15DD7">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B15DD7" w:rsidRPr="00A61D71" w:rsidRDefault="00B15DD7" w:rsidP="00B15DD7">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B15DD7" w:rsidRPr="00A61D71" w:rsidRDefault="00B15DD7" w:rsidP="00B15DD7">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B15DD7" w:rsidRPr="00A61D71" w:rsidRDefault="00B15DD7" w:rsidP="00B15DD7">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B15DD7" w:rsidRPr="00A61D71" w:rsidRDefault="00B15DD7" w:rsidP="00B15DD7">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8D78E4"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B15DD7" w:rsidRPr="00A61D71" w:rsidRDefault="00B15DD7" w:rsidP="00B15DD7">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B15DD7" w:rsidRPr="00A61D71" w:rsidRDefault="00B15DD7" w:rsidP="00B15DD7">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B15DD7" w:rsidRPr="00A61D71" w:rsidRDefault="00B15DD7" w:rsidP="00B15DD7">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B15DD7" w:rsidRPr="00A61D71" w:rsidRDefault="00B15DD7" w:rsidP="00B15DD7">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B15DD7" w:rsidRPr="00A61D71" w:rsidRDefault="00B15DD7" w:rsidP="00B15DD7">
      <w:pPr>
        <w:pStyle w:val="a7"/>
        <w:spacing w:before="0" w:beforeAutospacing="0" w:after="0" w:afterAutospacing="0"/>
        <w:ind w:firstLine="540"/>
        <w:jc w:val="both"/>
      </w:pPr>
      <w:r w:rsidRPr="00A61D71">
        <w:rPr>
          <w:color w:val="000000"/>
        </w:rPr>
        <w:lastRenderedPageBreak/>
        <w:t>1) истечения срока действия тендерной заявки (за исключением тендерной заявки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2) отзыва тендерной заявки потенциальным поставщиком до истечения окончательного срока их приема;</w:t>
      </w:r>
    </w:p>
    <w:p w:rsidR="00B15DD7" w:rsidRPr="0045647F" w:rsidRDefault="00B15DD7" w:rsidP="00B15DD7">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B15DD7" w:rsidRPr="0045647F" w:rsidRDefault="00B15DD7" w:rsidP="00B15DD7">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B15DD7" w:rsidRPr="0045647F" w:rsidRDefault="00B15DD7" w:rsidP="00B15DD7">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B15DD7" w:rsidRPr="0045647F" w:rsidRDefault="00B15DD7" w:rsidP="00B15DD7">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B15DD7" w:rsidRPr="0045647F" w:rsidRDefault="00B15DD7" w:rsidP="00B15DD7">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B15DD7" w:rsidRPr="0045647F" w:rsidRDefault="00B15DD7" w:rsidP="00B15DD7">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B15DD7" w:rsidRPr="00420FC3" w:rsidRDefault="00B15DD7" w:rsidP="00B15DD7">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B15DD7" w:rsidP="00B15DD7">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B15DD7" w:rsidRDefault="00B15DD7" w:rsidP="00B15DD7">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B15DD7" w:rsidRDefault="00B15DD7" w:rsidP="00B15DD7">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B15DD7" w:rsidRPr="00927FCC" w:rsidRDefault="00B15DD7" w:rsidP="00B15DD7">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00871457" w:rsidRPr="008D78E4">
        <w:rPr>
          <w:i/>
        </w:rPr>
        <w:t xml:space="preserve">«Тендер по закупу </w:t>
      </w:r>
      <w:r w:rsidR="00871457" w:rsidRPr="008D78E4">
        <w:rPr>
          <w:i/>
          <w:lang w:eastAsia="ko-KR"/>
        </w:rPr>
        <w:t>медицинских изделий, требующих сервисного обслуживания</w:t>
      </w:r>
      <w:r w:rsidRPr="008D78E4">
        <w:rPr>
          <w:i/>
          <w:lang w:eastAsia="ko-KR"/>
        </w:rPr>
        <w:t xml:space="preserve"> и </w:t>
      </w:r>
      <w:r w:rsidRPr="008D78E4">
        <w:rPr>
          <w:b/>
        </w:rPr>
        <w:t xml:space="preserve"> </w:t>
      </w:r>
      <w:r w:rsidRPr="00927FCC">
        <w:rPr>
          <w:i/>
        </w:rPr>
        <w:t>«Не вскрывать до</w:t>
      </w:r>
      <w:r w:rsidR="00004F6C">
        <w:rPr>
          <w:i/>
        </w:rPr>
        <w:t xml:space="preserve"> 14-4</w:t>
      </w:r>
      <w:r w:rsidR="00E207FB">
        <w:rPr>
          <w:i/>
        </w:rPr>
        <w:t xml:space="preserve">0 часов местного времени </w:t>
      </w:r>
      <w:r w:rsidR="00871457">
        <w:rPr>
          <w:i/>
        </w:rPr>
        <w:t>16</w:t>
      </w:r>
      <w:r w:rsidR="00F216F5">
        <w:rPr>
          <w:i/>
        </w:rPr>
        <w:t xml:space="preserve"> </w:t>
      </w:r>
      <w:r w:rsidR="00004F6C">
        <w:rPr>
          <w:i/>
        </w:rPr>
        <w:t>марта</w:t>
      </w:r>
      <w:r w:rsidR="00F216F5">
        <w:rPr>
          <w:i/>
        </w:rPr>
        <w:t xml:space="preserve"> 2021</w:t>
      </w:r>
      <w:r w:rsidRPr="00927FCC">
        <w:rPr>
          <w:i/>
        </w:rPr>
        <w:t xml:space="preserve"> года»</w:t>
      </w:r>
      <w:r w:rsidRPr="00927FCC">
        <w:t>.</w:t>
      </w:r>
    </w:p>
    <w:p w:rsidR="00B15DD7" w:rsidRPr="008D78E4" w:rsidRDefault="00B15DD7" w:rsidP="00B15DD7">
      <w:pPr>
        <w:pStyle w:val="a7"/>
        <w:spacing w:before="0" w:beforeAutospacing="0" w:after="0" w:afterAutospacing="0"/>
        <w:jc w:val="both"/>
      </w:pPr>
    </w:p>
    <w:p w:rsidR="00B15DD7" w:rsidRPr="002920CE" w:rsidRDefault="00B15DD7" w:rsidP="00B15DD7">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2920CE" w:rsidRDefault="00B15DD7" w:rsidP="00B15DD7">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B15DD7" w:rsidRPr="008D78E4" w:rsidRDefault="00B15DD7" w:rsidP="00B15DD7">
      <w:pPr>
        <w:pStyle w:val="a7"/>
        <w:tabs>
          <w:tab w:val="left" w:pos="1134"/>
          <w:tab w:val="num" w:pos="1211"/>
          <w:tab w:val="num" w:pos="1950"/>
        </w:tabs>
        <w:spacing w:before="0" w:beforeAutospacing="0" w:after="0" w:afterAutospacing="0"/>
        <w:jc w:val="both"/>
      </w:pPr>
      <w:r w:rsidRPr="002920CE">
        <w:rPr>
          <w:color w:val="000000"/>
        </w:rPr>
        <w:lastRenderedPageBreak/>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rsidR="00004F6C">
        <w:t>о  12-4</w:t>
      </w:r>
      <w:r w:rsidR="00CD10DB">
        <w:t>0</w:t>
      </w:r>
      <w:r w:rsidR="00E207FB">
        <w:t xml:space="preserve"> местного времени  </w:t>
      </w:r>
      <w:r w:rsidR="00871457">
        <w:t>16</w:t>
      </w:r>
      <w:r w:rsidR="00F216F5">
        <w:t xml:space="preserve"> </w:t>
      </w:r>
      <w:r w:rsidR="00004F6C">
        <w:t>марта</w:t>
      </w:r>
      <w:r w:rsidR="00F216F5">
        <w:t xml:space="preserve"> 2021</w:t>
      </w:r>
      <w:r w:rsidRPr="00927FCC">
        <w:t xml:space="preserve">  года</w:t>
      </w:r>
      <w:r w:rsidRPr="00C756F4">
        <w:rPr>
          <w:color w:val="FF0000"/>
        </w:rPr>
        <w:t>.</w:t>
      </w:r>
      <w:r w:rsidRPr="008D78E4">
        <w:t xml:space="preserve"> </w:t>
      </w:r>
    </w:p>
    <w:p w:rsidR="00B15DD7" w:rsidRPr="002920CE" w:rsidRDefault="00B15DD7" w:rsidP="00B15DD7">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2920CE" w:rsidRDefault="00B15DD7" w:rsidP="00B15DD7">
      <w:pPr>
        <w:pStyle w:val="a3"/>
        <w:tabs>
          <w:tab w:val="clear" w:pos="0"/>
        </w:tabs>
        <w:ind w:firstLine="709"/>
        <w:rPr>
          <w:b/>
          <w:color w:val="000000"/>
          <w:sz w:val="24"/>
          <w:szCs w:val="24"/>
        </w:rPr>
      </w:pPr>
    </w:p>
    <w:p w:rsidR="00B15DD7" w:rsidRPr="007E795C" w:rsidRDefault="00B15DD7" w:rsidP="00B15DD7">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sidR="00004F6C">
        <w:rPr>
          <w:iCs/>
          <w:sz w:val="24"/>
          <w:szCs w:val="24"/>
        </w:rPr>
        <w:t>ов 4</w:t>
      </w:r>
      <w:r w:rsidR="00E207FB">
        <w:rPr>
          <w:iCs/>
          <w:sz w:val="24"/>
          <w:szCs w:val="24"/>
        </w:rPr>
        <w:t xml:space="preserve">0 минут местного времени </w:t>
      </w:r>
      <w:r w:rsidR="00871457">
        <w:rPr>
          <w:sz w:val="22"/>
          <w:szCs w:val="22"/>
        </w:rPr>
        <w:t>16</w:t>
      </w:r>
      <w:r w:rsidR="00F216F5" w:rsidRPr="006C5200">
        <w:rPr>
          <w:sz w:val="22"/>
          <w:szCs w:val="22"/>
        </w:rPr>
        <w:t xml:space="preserve"> </w:t>
      </w:r>
      <w:r w:rsidR="00004F6C">
        <w:rPr>
          <w:sz w:val="22"/>
          <w:szCs w:val="22"/>
        </w:rPr>
        <w:t>марта</w:t>
      </w:r>
      <w:r w:rsidR="00F216F5" w:rsidRPr="006C5200">
        <w:rPr>
          <w:sz w:val="22"/>
          <w:szCs w:val="22"/>
        </w:rPr>
        <w:t xml:space="preserve">  2021</w:t>
      </w:r>
      <w:r w:rsidR="00F216F5" w:rsidRPr="00927FCC">
        <w:t xml:space="preserve">  </w:t>
      </w:r>
      <w:r w:rsidRPr="00927FCC">
        <w:rPr>
          <w:iCs/>
          <w:sz w:val="24"/>
          <w:szCs w:val="24"/>
        </w:rPr>
        <w:t>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B15DD7" w:rsidRPr="003C7A00" w:rsidRDefault="00B15DD7" w:rsidP="00B15DD7">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B15DD7" w:rsidRPr="002C6F60" w:rsidRDefault="00B15DD7" w:rsidP="00B15DD7">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B15DD7" w:rsidRPr="00155BB3" w:rsidRDefault="00B15DD7" w:rsidP="00B15DD7">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B15DD7" w:rsidRPr="00155BB3" w:rsidRDefault="00B15DD7" w:rsidP="00B15DD7">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B15DD7" w:rsidRPr="00155BB3" w:rsidRDefault="00B15DD7" w:rsidP="00B15DD7">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B15DD7" w:rsidRPr="00155BB3" w:rsidRDefault="00B15DD7" w:rsidP="00B15DD7">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B15DD7" w:rsidRPr="00155BB3" w:rsidRDefault="00B15DD7" w:rsidP="00B15DD7">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B15DD7" w:rsidRPr="00155BB3" w:rsidRDefault="00B15DD7" w:rsidP="00B15DD7">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B15DD7" w:rsidRPr="00155BB3" w:rsidRDefault="00B15DD7" w:rsidP="00B15DD7">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w:t>
      </w:r>
      <w:r w:rsidRPr="00155BB3">
        <w:rPr>
          <w:color w:val="000000"/>
          <w:sz w:val="24"/>
          <w:szCs w:val="24"/>
        </w:rPr>
        <w:lastRenderedPageBreak/>
        <w:t>(уведомления),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B15DD7" w:rsidRPr="00155BB3" w:rsidRDefault="00B15DD7" w:rsidP="00B15DD7">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B15DD7" w:rsidRPr="00155BB3" w:rsidRDefault="00B15DD7" w:rsidP="00B15DD7">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B15DD7" w:rsidRPr="00155BB3" w:rsidRDefault="00B15DD7" w:rsidP="00B15DD7">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B15DD7" w:rsidRPr="00155BB3" w:rsidRDefault="00B15DD7" w:rsidP="00B15DD7">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B15DD7" w:rsidRPr="00155BB3" w:rsidRDefault="00B15DD7" w:rsidP="00B15DD7">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B15DD7" w:rsidRPr="00155BB3" w:rsidRDefault="00B15DD7" w:rsidP="00B15DD7">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B15DD7" w:rsidRPr="00155BB3" w:rsidRDefault="00B15DD7" w:rsidP="00B15DD7">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B15DD7" w:rsidRPr="00155BB3" w:rsidRDefault="00B15DD7" w:rsidP="00B15DD7">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B15DD7" w:rsidRPr="00155BB3" w:rsidRDefault="00B15DD7" w:rsidP="00B15DD7">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B15DD7" w:rsidRPr="00155BB3" w:rsidRDefault="00B15DD7" w:rsidP="00B15DD7">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B15DD7" w:rsidRPr="00155BB3" w:rsidRDefault="00B15DD7" w:rsidP="00B15DD7">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B15DD7" w:rsidRPr="00155BB3" w:rsidRDefault="00B15DD7" w:rsidP="00B15DD7">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B15DD7" w:rsidRPr="00155BB3" w:rsidRDefault="00B15DD7" w:rsidP="00B15DD7">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B15DD7" w:rsidRPr="00155BB3" w:rsidRDefault="00B15DD7" w:rsidP="00B15DD7">
      <w:pPr>
        <w:jc w:val="both"/>
        <w:rPr>
          <w:sz w:val="24"/>
          <w:szCs w:val="24"/>
        </w:rPr>
      </w:pPr>
      <w:bookmarkStart w:id="38" w:name="z359"/>
      <w:bookmarkEnd w:id="37"/>
      <w:r w:rsidRPr="00155BB3">
        <w:rPr>
          <w:color w:val="000000"/>
          <w:sz w:val="24"/>
          <w:szCs w:val="24"/>
        </w:rPr>
        <w:t>      19) установленных пунктами 26, 33 Правил;</w:t>
      </w:r>
    </w:p>
    <w:p w:rsidR="00B15DD7" w:rsidRPr="00155BB3" w:rsidRDefault="00B15DD7" w:rsidP="00B15DD7">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B15DD7" w:rsidRPr="00155BB3" w:rsidRDefault="00B15DD7" w:rsidP="00B15DD7">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B15DD7" w:rsidRPr="00155BB3" w:rsidRDefault="00B15DD7" w:rsidP="00B15DD7">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B15DD7" w:rsidRPr="00155BB3" w:rsidRDefault="00B15DD7" w:rsidP="00B15DD7">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B15DD7" w:rsidRPr="00155BB3" w:rsidRDefault="00B15DD7" w:rsidP="00B15DD7">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B15DD7" w:rsidRPr="00155BB3" w:rsidRDefault="00B15DD7" w:rsidP="00B15DD7">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B15DD7" w:rsidRPr="00155BB3" w:rsidRDefault="00B15DD7" w:rsidP="00B15DD7">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15DD7" w:rsidRPr="00155BB3" w:rsidRDefault="00B15DD7" w:rsidP="00B15DD7">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B15DD7" w:rsidRPr="00155BB3" w:rsidRDefault="00B15DD7" w:rsidP="00B15DD7">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B15DD7" w:rsidRPr="00155BB3" w:rsidRDefault="00B15DD7" w:rsidP="00B15DD7">
      <w:pPr>
        <w:jc w:val="both"/>
        <w:rPr>
          <w:color w:val="000000"/>
          <w:sz w:val="24"/>
          <w:szCs w:val="24"/>
        </w:rPr>
      </w:pPr>
    </w:p>
    <w:p w:rsidR="00B15DD7" w:rsidRPr="00155BB3" w:rsidRDefault="00B15DD7" w:rsidP="00B15DD7">
      <w:pPr>
        <w:pStyle w:val="Iauiue"/>
        <w:widowControl/>
        <w:ind w:left="709"/>
        <w:jc w:val="center"/>
        <w:rPr>
          <w:rFonts w:cs="Times New Roman(K)"/>
          <w:b/>
          <w:sz w:val="24"/>
          <w:szCs w:val="24"/>
        </w:rPr>
      </w:pP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B15DD7" w:rsidRPr="00155BB3" w:rsidRDefault="00B15DD7" w:rsidP="00B15DD7">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15DD7" w:rsidRPr="00C402E7" w:rsidRDefault="00B15DD7" w:rsidP="00B15DD7">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B15DD7" w:rsidRPr="00C402E7" w:rsidRDefault="00B15DD7" w:rsidP="00B15DD7">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15DD7" w:rsidRPr="00C402E7" w:rsidRDefault="00B15DD7" w:rsidP="00B15DD7">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15DD7" w:rsidRPr="00C402E7" w:rsidRDefault="00B15DD7" w:rsidP="00B15DD7">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B15DD7" w:rsidRPr="00C402E7" w:rsidRDefault="00B15DD7" w:rsidP="00B15DD7">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15DD7" w:rsidRPr="00C402E7" w:rsidRDefault="00B15DD7" w:rsidP="00B15DD7">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B15DD7" w:rsidRPr="00C402E7" w:rsidRDefault="00B15DD7" w:rsidP="00B15DD7">
      <w:pPr>
        <w:ind w:firstLine="720"/>
        <w:jc w:val="both"/>
        <w:rPr>
          <w:color w:val="000000"/>
          <w:sz w:val="24"/>
          <w:szCs w:val="24"/>
        </w:rPr>
      </w:pPr>
      <w:r w:rsidRPr="00C402E7">
        <w:rPr>
          <w:color w:val="000000"/>
          <w:sz w:val="24"/>
          <w:szCs w:val="24"/>
        </w:rPr>
        <w:t>.</w:t>
      </w:r>
    </w:p>
    <w:p w:rsidR="00B15DD7" w:rsidRPr="00C402E7" w:rsidRDefault="00B15DD7" w:rsidP="00B15DD7">
      <w:pPr>
        <w:ind w:firstLine="720"/>
        <w:jc w:val="both"/>
        <w:rPr>
          <w:b/>
          <w:sz w:val="24"/>
          <w:szCs w:val="24"/>
        </w:rPr>
      </w:pPr>
    </w:p>
    <w:p w:rsidR="00B15DD7" w:rsidRDefault="00B15DD7" w:rsidP="00B15DD7">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B15DD7" w:rsidRDefault="00B15DD7" w:rsidP="00B15DD7">
      <w:pPr>
        <w:pStyle w:val="Iauiue"/>
        <w:widowControl/>
        <w:tabs>
          <w:tab w:val="left" w:pos="360"/>
        </w:tabs>
        <w:ind w:left="360" w:firstLine="709"/>
        <w:jc w:val="center"/>
        <w:rPr>
          <w:b/>
          <w:sz w:val="24"/>
          <w:szCs w:val="24"/>
        </w:rPr>
      </w:pPr>
    </w:p>
    <w:p w:rsidR="00B15DD7" w:rsidRPr="00EA71CD" w:rsidRDefault="00B15DD7" w:rsidP="00B15DD7">
      <w:pPr>
        <w:pStyle w:val="Iauiue"/>
        <w:widowControl/>
        <w:tabs>
          <w:tab w:val="left" w:pos="360"/>
        </w:tabs>
        <w:ind w:left="360" w:firstLine="709"/>
        <w:jc w:val="center"/>
        <w:rPr>
          <w:b/>
          <w:sz w:val="24"/>
          <w:szCs w:val="24"/>
        </w:rPr>
      </w:pPr>
    </w:p>
    <w:p w:rsidR="00B15DD7" w:rsidRDefault="00B15DD7" w:rsidP="00B15DD7">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B15DD7" w:rsidRDefault="00B15DD7" w:rsidP="00B15DD7">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15DD7" w:rsidRDefault="00B15DD7" w:rsidP="00B15DD7">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15DD7" w:rsidRDefault="00B15DD7" w:rsidP="00B15DD7">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15DD7" w:rsidRDefault="00B15DD7" w:rsidP="00B15DD7">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15DD7" w:rsidRDefault="00B15DD7" w:rsidP="00B15DD7">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15DD7" w:rsidRDefault="00B15DD7" w:rsidP="00B15DD7">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B15DD7" w:rsidRDefault="00B15DD7" w:rsidP="00B15DD7">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B15DD7" w:rsidRPr="00294E46" w:rsidRDefault="00B15DD7" w:rsidP="00B15DD7">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Pr="00EA71CD" w:rsidRDefault="00B15DD7" w:rsidP="00B15DD7">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B15DD7" w:rsidRPr="00EA71CD" w:rsidRDefault="00B15DD7" w:rsidP="00B15DD7">
      <w:pPr>
        <w:pStyle w:val="a7"/>
        <w:tabs>
          <w:tab w:val="left" w:pos="0"/>
        </w:tabs>
        <w:spacing w:before="0" w:beforeAutospacing="0" w:after="0" w:afterAutospacing="0"/>
        <w:ind w:firstLine="709"/>
        <w:jc w:val="center"/>
      </w:pPr>
    </w:p>
    <w:p w:rsidR="00B15DD7" w:rsidRDefault="00B15DD7" w:rsidP="00B15DD7">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B15DD7" w:rsidRDefault="00B15DD7" w:rsidP="00B15DD7">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B15DD7" w:rsidRPr="00DB0A9F" w:rsidRDefault="00B15DD7" w:rsidP="00B15DD7">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B15DD7" w:rsidRDefault="00B15DD7" w:rsidP="00B15DD7">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15DD7" w:rsidRDefault="00B15DD7" w:rsidP="00B15DD7">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15DD7" w:rsidRDefault="00B15DD7" w:rsidP="00B15DD7">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B15DD7" w:rsidRDefault="00B15DD7" w:rsidP="00B15DD7">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B15DD7" w:rsidRDefault="00B15DD7" w:rsidP="00B15DD7">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B15DD7" w:rsidRDefault="00B15DD7" w:rsidP="00B15DD7">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B15DD7" w:rsidRDefault="00B15DD7" w:rsidP="00B15DD7">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B15DD7" w:rsidRPr="00F9149C" w:rsidRDefault="00B15DD7" w:rsidP="00B15DD7">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B15DD7" w:rsidRDefault="00B15DD7" w:rsidP="00B15DD7"/>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C9C" w:rsidRDefault="00372C9C" w:rsidP="00AF0633">
      <w:r>
        <w:separator/>
      </w:r>
    </w:p>
  </w:endnote>
  <w:endnote w:type="continuationSeparator" w:id="1">
    <w:p w:rsidR="00372C9C" w:rsidRDefault="00372C9C"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C9C" w:rsidRDefault="00372C9C" w:rsidP="00AF0633">
      <w:r>
        <w:separator/>
      </w:r>
    </w:p>
  </w:footnote>
  <w:footnote w:type="continuationSeparator" w:id="1">
    <w:p w:rsidR="00372C9C" w:rsidRDefault="00372C9C"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372C9C">
    <w:pPr>
      <w:pStyle w:val="a5"/>
    </w:pPr>
  </w:p>
  <w:p w:rsidR="0045647F" w:rsidRDefault="005D6960">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372C9C"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23554"/>
    <o:shapelayout v:ext="edit">
      <o:idmap v:ext="edit" data="1"/>
    </o:shapelayout>
  </w:hdrShapeDefaults>
  <w:footnotePr>
    <w:pos w:val="beneathText"/>
    <w:footnote w:id="0"/>
    <w:footnote w:id="1"/>
  </w:footnotePr>
  <w:endnotePr>
    <w:endnote w:id="0"/>
    <w:endnote w:id="1"/>
  </w:endnotePr>
  <w:compat/>
  <w:rsids>
    <w:rsidRoot w:val="00B15DD7"/>
    <w:rsid w:val="00004F6C"/>
    <w:rsid w:val="00050212"/>
    <w:rsid w:val="00066D86"/>
    <w:rsid w:val="000D1833"/>
    <w:rsid w:val="00115FC3"/>
    <w:rsid w:val="00117613"/>
    <w:rsid w:val="001E5561"/>
    <w:rsid w:val="002532AA"/>
    <w:rsid w:val="002652B4"/>
    <w:rsid w:val="002B057C"/>
    <w:rsid w:val="00327CE9"/>
    <w:rsid w:val="00372C9C"/>
    <w:rsid w:val="003E7BA3"/>
    <w:rsid w:val="00452AFD"/>
    <w:rsid w:val="0046141B"/>
    <w:rsid w:val="004D56F3"/>
    <w:rsid w:val="005D6960"/>
    <w:rsid w:val="006C5200"/>
    <w:rsid w:val="00794324"/>
    <w:rsid w:val="00871457"/>
    <w:rsid w:val="008D0311"/>
    <w:rsid w:val="009727AE"/>
    <w:rsid w:val="00997048"/>
    <w:rsid w:val="00AF0633"/>
    <w:rsid w:val="00B15DD7"/>
    <w:rsid w:val="00BC7FC6"/>
    <w:rsid w:val="00BD55FA"/>
    <w:rsid w:val="00C039D6"/>
    <w:rsid w:val="00C14473"/>
    <w:rsid w:val="00CD10DB"/>
    <w:rsid w:val="00CD1F4C"/>
    <w:rsid w:val="00D70E42"/>
    <w:rsid w:val="00DE348B"/>
    <w:rsid w:val="00E207FB"/>
    <w:rsid w:val="00F216F5"/>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11</Pages>
  <Words>5453</Words>
  <Characters>31084</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17</cp:revision>
  <cp:lastPrinted>2021-02-23T07:39:00Z</cp:lastPrinted>
  <dcterms:created xsi:type="dcterms:W3CDTF">2020-10-21T10:35:00Z</dcterms:created>
  <dcterms:modified xsi:type="dcterms:W3CDTF">2021-02-23T07:39:00Z</dcterms:modified>
</cp:coreProperties>
</file>